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735C7" w14:textId="77777777" w:rsidR="00D56D5F" w:rsidRDefault="00D56D5F" w:rsidP="00C83FD5">
      <w:pPr>
        <w:spacing w:after="120" w:line="480" w:lineRule="auto"/>
        <w:contextualSpacing/>
        <w:jc w:val="center"/>
        <w:rPr>
          <w:u w:val="single"/>
        </w:rPr>
      </w:pPr>
    </w:p>
    <w:p w14:paraId="7366C3AF" w14:textId="77777777" w:rsidR="00D56D5F" w:rsidRDefault="00D56D5F" w:rsidP="00C83FD5">
      <w:pPr>
        <w:spacing w:after="120" w:line="480" w:lineRule="auto"/>
        <w:contextualSpacing/>
        <w:jc w:val="center"/>
        <w:rPr>
          <w:u w:val="single"/>
        </w:rPr>
      </w:pPr>
    </w:p>
    <w:p w14:paraId="3FCBC7F5" w14:textId="77777777" w:rsidR="00D56D5F" w:rsidRDefault="00D56D5F" w:rsidP="00C83FD5">
      <w:pPr>
        <w:spacing w:after="120" w:line="480" w:lineRule="auto"/>
        <w:contextualSpacing/>
        <w:jc w:val="center"/>
        <w:rPr>
          <w:u w:val="single"/>
        </w:rPr>
      </w:pPr>
    </w:p>
    <w:p w14:paraId="26F23904" w14:textId="77777777" w:rsidR="00D56D5F" w:rsidRDefault="00D56D5F" w:rsidP="00C83FD5">
      <w:pPr>
        <w:spacing w:after="120" w:line="480" w:lineRule="auto"/>
        <w:contextualSpacing/>
        <w:jc w:val="center"/>
        <w:rPr>
          <w:u w:val="single"/>
        </w:rPr>
      </w:pPr>
    </w:p>
    <w:p w14:paraId="539BBBBF" w14:textId="77777777" w:rsidR="00D56D5F" w:rsidRDefault="00090169" w:rsidP="00C83FD5">
      <w:pPr>
        <w:spacing w:after="120" w:line="480" w:lineRule="auto"/>
        <w:contextualSpacing/>
        <w:jc w:val="center"/>
        <w:rPr>
          <w:u w:val="single"/>
        </w:rPr>
      </w:pPr>
      <w:r w:rsidRPr="00C83FD5">
        <w:rPr>
          <w:u w:val="single"/>
        </w:rPr>
        <w:t xml:space="preserve">Jaz-F1 H2A.Z Acetylation in Complex Regulation and </w:t>
      </w:r>
    </w:p>
    <w:p w14:paraId="63A762AF" w14:textId="2D66962B" w:rsidR="00090169" w:rsidRPr="00C83FD5" w:rsidRDefault="00090169" w:rsidP="00C83FD5">
      <w:pPr>
        <w:spacing w:after="120" w:line="480" w:lineRule="auto"/>
        <w:contextualSpacing/>
        <w:jc w:val="center"/>
        <w:rPr>
          <w:u w:val="single"/>
        </w:rPr>
      </w:pPr>
      <w:r w:rsidRPr="00C83FD5">
        <w:rPr>
          <w:u w:val="single"/>
        </w:rPr>
        <w:t>Influencing Histone Modifications: Overexpression and Knockout Gene Lines Using NUT-PAGE and SDS-PAGE Techniques</w:t>
      </w:r>
    </w:p>
    <w:p w14:paraId="2781CEE8" w14:textId="77777777" w:rsidR="00090169" w:rsidRPr="00C83FD5" w:rsidRDefault="00090169" w:rsidP="00C83FD5">
      <w:pPr>
        <w:spacing w:after="120" w:line="480" w:lineRule="auto"/>
        <w:contextualSpacing/>
        <w:jc w:val="center"/>
        <w:rPr>
          <w:u w:val="single"/>
        </w:rPr>
      </w:pPr>
    </w:p>
    <w:p w14:paraId="39EB735F" w14:textId="67458705" w:rsidR="00090169" w:rsidRPr="00C83FD5" w:rsidRDefault="00090169" w:rsidP="00C83FD5">
      <w:pPr>
        <w:spacing w:after="120" w:line="480" w:lineRule="auto"/>
        <w:contextualSpacing/>
        <w:jc w:val="center"/>
      </w:pPr>
      <w:r w:rsidRPr="00C83FD5">
        <w:t>Kari Fritzel</w:t>
      </w:r>
    </w:p>
    <w:p w14:paraId="18B5DC3B" w14:textId="796B512D" w:rsidR="00090169" w:rsidRPr="00C83FD5" w:rsidRDefault="00090169" w:rsidP="00C83FD5">
      <w:pPr>
        <w:spacing w:after="120" w:line="480" w:lineRule="auto"/>
        <w:contextualSpacing/>
        <w:jc w:val="center"/>
      </w:pPr>
      <w:r w:rsidRPr="00C83FD5">
        <w:t>University of Pittsburgh</w:t>
      </w:r>
    </w:p>
    <w:p w14:paraId="13CE794F" w14:textId="186A630F" w:rsidR="00090169" w:rsidRPr="00C83FD5" w:rsidRDefault="00090169" w:rsidP="00C83FD5">
      <w:pPr>
        <w:spacing w:after="120" w:line="480" w:lineRule="auto"/>
        <w:contextualSpacing/>
        <w:jc w:val="center"/>
      </w:pPr>
      <w:r w:rsidRPr="00C83FD5">
        <w:t>Division of Natural Sciences, Biological Sciences Department</w:t>
      </w:r>
    </w:p>
    <w:p w14:paraId="1F2A1B50" w14:textId="1A78056D" w:rsidR="00D56D5F" w:rsidRDefault="00D56D5F" w:rsidP="00C83FD5">
      <w:pPr>
        <w:spacing w:after="120" w:line="480" w:lineRule="auto"/>
        <w:contextualSpacing/>
        <w:jc w:val="center"/>
      </w:pPr>
      <w:r>
        <w:t xml:space="preserve">Spring Semester, May 2022 </w:t>
      </w:r>
    </w:p>
    <w:p w14:paraId="7310962D" w14:textId="18520F85" w:rsidR="00090169" w:rsidRPr="00C83FD5" w:rsidRDefault="00090169" w:rsidP="00C83FD5">
      <w:pPr>
        <w:spacing w:after="120" w:line="480" w:lineRule="auto"/>
        <w:contextualSpacing/>
        <w:jc w:val="center"/>
      </w:pPr>
      <w:r w:rsidRPr="00C83FD5">
        <w:t>Undergraduate Research</w:t>
      </w:r>
    </w:p>
    <w:p w14:paraId="5E5E2B51" w14:textId="77777777" w:rsidR="00090169" w:rsidRPr="0073063D" w:rsidRDefault="00090169" w:rsidP="00471C68">
      <w:pPr>
        <w:spacing w:after="120" w:line="480" w:lineRule="auto"/>
        <w:contextualSpacing/>
      </w:pPr>
    </w:p>
    <w:p w14:paraId="67A73009" w14:textId="77777777" w:rsidR="00C83FD5" w:rsidRDefault="00C83FD5" w:rsidP="00471C68">
      <w:pPr>
        <w:spacing w:after="120" w:line="480" w:lineRule="auto"/>
        <w:contextualSpacing/>
      </w:pPr>
    </w:p>
    <w:p w14:paraId="2E23BC74" w14:textId="77777777" w:rsidR="00C83FD5" w:rsidRDefault="00C83FD5" w:rsidP="00471C68">
      <w:pPr>
        <w:spacing w:after="120" w:line="480" w:lineRule="auto"/>
        <w:contextualSpacing/>
      </w:pPr>
    </w:p>
    <w:p w14:paraId="5051EACC" w14:textId="77777777" w:rsidR="00C83FD5" w:rsidRDefault="00C83FD5" w:rsidP="00471C68">
      <w:pPr>
        <w:spacing w:after="120" w:line="480" w:lineRule="auto"/>
        <w:contextualSpacing/>
      </w:pPr>
    </w:p>
    <w:p w14:paraId="0C44F0F2" w14:textId="77777777" w:rsidR="00C83FD5" w:rsidRDefault="00C83FD5" w:rsidP="00471C68">
      <w:pPr>
        <w:spacing w:after="120" w:line="480" w:lineRule="auto"/>
        <w:contextualSpacing/>
      </w:pPr>
    </w:p>
    <w:p w14:paraId="55EBCF80" w14:textId="77777777" w:rsidR="00C83FD5" w:rsidRDefault="00C83FD5" w:rsidP="00471C68">
      <w:pPr>
        <w:spacing w:after="120" w:line="480" w:lineRule="auto"/>
        <w:contextualSpacing/>
      </w:pPr>
    </w:p>
    <w:p w14:paraId="39CD9D46" w14:textId="77777777" w:rsidR="00C83FD5" w:rsidRDefault="00C83FD5" w:rsidP="00471C68">
      <w:pPr>
        <w:spacing w:after="120" w:line="480" w:lineRule="auto"/>
        <w:contextualSpacing/>
      </w:pPr>
    </w:p>
    <w:p w14:paraId="399062DD" w14:textId="77777777" w:rsidR="00C83FD5" w:rsidRDefault="00C83FD5" w:rsidP="00471C68">
      <w:pPr>
        <w:spacing w:after="120" w:line="480" w:lineRule="auto"/>
        <w:contextualSpacing/>
      </w:pPr>
    </w:p>
    <w:p w14:paraId="47962688" w14:textId="77777777" w:rsidR="00D56D5F" w:rsidRDefault="00D56D5F" w:rsidP="00471C68">
      <w:pPr>
        <w:spacing w:after="120" w:line="480" w:lineRule="auto"/>
        <w:contextualSpacing/>
      </w:pPr>
    </w:p>
    <w:p w14:paraId="5DB09CB6" w14:textId="187E7D35" w:rsidR="00090169" w:rsidRPr="00C83FD5" w:rsidRDefault="00090169" w:rsidP="00471C68">
      <w:pPr>
        <w:spacing w:after="120" w:line="480" w:lineRule="auto"/>
        <w:contextualSpacing/>
        <w:rPr>
          <w:b/>
          <w:bCs/>
        </w:rPr>
      </w:pPr>
      <w:r w:rsidRPr="00C83FD5">
        <w:rPr>
          <w:b/>
          <w:bCs/>
        </w:rPr>
        <w:lastRenderedPageBreak/>
        <w:t>Table of Contents</w:t>
      </w:r>
    </w:p>
    <w:p w14:paraId="5B78ED99" w14:textId="7C795B63" w:rsidR="00090169" w:rsidRPr="0073063D" w:rsidRDefault="00090169" w:rsidP="00471C68">
      <w:pPr>
        <w:spacing w:after="120" w:line="480" w:lineRule="auto"/>
        <w:contextualSpacing/>
      </w:pPr>
      <w:r w:rsidRPr="0073063D">
        <w:t xml:space="preserve">Abstract… </w:t>
      </w:r>
      <w:r w:rsidR="00C83FD5">
        <w:t>3</w:t>
      </w:r>
      <w:r w:rsidRPr="0073063D">
        <w:t xml:space="preserve">  </w:t>
      </w:r>
    </w:p>
    <w:p w14:paraId="493FED9C" w14:textId="7AEFDE6A" w:rsidR="00090169" w:rsidRPr="0073063D" w:rsidRDefault="00090169" w:rsidP="00471C68">
      <w:pPr>
        <w:spacing w:after="120" w:line="480" w:lineRule="auto"/>
        <w:contextualSpacing/>
      </w:pPr>
      <w:r w:rsidRPr="0073063D">
        <w:t xml:space="preserve">Introduction and Background… </w:t>
      </w:r>
      <w:r w:rsidR="00C83FD5">
        <w:t>4</w:t>
      </w:r>
      <w:r w:rsidRPr="0073063D">
        <w:t xml:space="preserve"> </w:t>
      </w:r>
    </w:p>
    <w:p w14:paraId="348B4A25" w14:textId="2454DB56" w:rsidR="00090169" w:rsidRPr="0073063D" w:rsidRDefault="00090169" w:rsidP="00471C68">
      <w:pPr>
        <w:spacing w:after="120" w:line="480" w:lineRule="auto"/>
        <w:contextualSpacing/>
      </w:pPr>
      <w:r w:rsidRPr="0073063D">
        <w:t xml:space="preserve">Methods… </w:t>
      </w:r>
      <w:r w:rsidR="00D56D5F">
        <w:t>14</w:t>
      </w:r>
      <w:r w:rsidRPr="0073063D">
        <w:t xml:space="preserve">  </w:t>
      </w:r>
    </w:p>
    <w:p w14:paraId="5EA84A6D" w14:textId="3986F908" w:rsidR="00090169" w:rsidRPr="0073063D" w:rsidRDefault="00090169" w:rsidP="00471C68">
      <w:pPr>
        <w:spacing w:after="120" w:line="480" w:lineRule="auto"/>
        <w:contextualSpacing/>
      </w:pPr>
      <w:r w:rsidRPr="0073063D">
        <w:t xml:space="preserve">Results…  </w:t>
      </w:r>
      <w:r w:rsidR="00D56D5F">
        <w:t>18</w:t>
      </w:r>
      <w:r w:rsidRPr="0073063D">
        <w:t xml:space="preserve"> </w:t>
      </w:r>
    </w:p>
    <w:p w14:paraId="793C2165" w14:textId="78E43911" w:rsidR="00090169" w:rsidRPr="0073063D" w:rsidRDefault="00090169" w:rsidP="00471C68">
      <w:pPr>
        <w:spacing w:after="120" w:line="480" w:lineRule="auto"/>
        <w:contextualSpacing/>
      </w:pPr>
      <w:r w:rsidRPr="0073063D">
        <w:t xml:space="preserve">Discussion… </w:t>
      </w:r>
      <w:r w:rsidR="00D56D5F">
        <w:t>21</w:t>
      </w:r>
      <w:r w:rsidRPr="0073063D">
        <w:t xml:space="preserve">  </w:t>
      </w:r>
    </w:p>
    <w:p w14:paraId="12DA0BD1" w14:textId="24AF9762" w:rsidR="00090169" w:rsidRPr="0073063D" w:rsidRDefault="00090169" w:rsidP="00471C68">
      <w:pPr>
        <w:spacing w:after="120" w:line="480" w:lineRule="auto"/>
        <w:contextualSpacing/>
      </w:pPr>
      <w:r w:rsidRPr="0073063D">
        <w:t xml:space="preserve">Cited References… </w:t>
      </w:r>
      <w:r w:rsidR="00D56D5F">
        <w:t>24</w:t>
      </w:r>
      <w:r w:rsidRPr="0073063D">
        <w:t xml:space="preserve">  </w:t>
      </w:r>
    </w:p>
    <w:p w14:paraId="52040899" w14:textId="77777777" w:rsidR="00090169" w:rsidRPr="0073063D" w:rsidRDefault="00090169" w:rsidP="00471C68">
      <w:pPr>
        <w:spacing w:after="120" w:line="480" w:lineRule="auto"/>
        <w:contextualSpacing/>
      </w:pPr>
    </w:p>
    <w:p w14:paraId="403C770F" w14:textId="77777777" w:rsidR="00C83FD5" w:rsidRDefault="00C83FD5" w:rsidP="00471C68">
      <w:pPr>
        <w:spacing w:after="120" w:line="480" w:lineRule="auto"/>
        <w:contextualSpacing/>
      </w:pPr>
    </w:p>
    <w:p w14:paraId="08E674D6" w14:textId="77777777" w:rsidR="00C83FD5" w:rsidRDefault="00C83FD5" w:rsidP="00471C68">
      <w:pPr>
        <w:spacing w:after="120" w:line="480" w:lineRule="auto"/>
        <w:contextualSpacing/>
      </w:pPr>
    </w:p>
    <w:p w14:paraId="4B62A411" w14:textId="77777777" w:rsidR="00C83FD5" w:rsidRDefault="00C83FD5" w:rsidP="00471C68">
      <w:pPr>
        <w:spacing w:after="120" w:line="480" w:lineRule="auto"/>
        <w:contextualSpacing/>
      </w:pPr>
    </w:p>
    <w:p w14:paraId="1B3B9B81" w14:textId="77777777" w:rsidR="00C83FD5" w:rsidRDefault="00C83FD5" w:rsidP="00471C68">
      <w:pPr>
        <w:spacing w:after="120" w:line="480" w:lineRule="auto"/>
        <w:contextualSpacing/>
      </w:pPr>
    </w:p>
    <w:p w14:paraId="3F7EB266" w14:textId="77777777" w:rsidR="00C83FD5" w:rsidRDefault="00C83FD5" w:rsidP="00471C68">
      <w:pPr>
        <w:spacing w:after="120" w:line="480" w:lineRule="auto"/>
        <w:contextualSpacing/>
      </w:pPr>
    </w:p>
    <w:p w14:paraId="51FE4E62" w14:textId="77777777" w:rsidR="00C83FD5" w:rsidRDefault="00C83FD5" w:rsidP="00471C68">
      <w:pPr>
        <w:spacing w:after="120" w:line="480" w:lineRule="auto"/>
        <w:contextualSpacing/>
      </w:pPr>
    </w:p>
    <w:p w14:paraId="5C094B7B" w14:textId="77777777" w:rsidR="00C83FD5" w:rsidRDefault="00C83FD5" w:rsidP="00471C68">
      <w:pPr>
        <w:spacing w:after="120" w:line="480" w:lineRule="auto"/>
        <w:contextualSpacing/>
      </w:pPr>
    </w:p>
    <w:p w14:paraId="315714A4" w14:textId="77777777" w:rsidR="00C83FD5" w:rsidRDefault="00C83FD5" w:rsidP="00471C68">
      <w:pPr>
        <w:spacing w:after="120" w:line="480" w:lineRule="auto"/>
        <w:contextualSpacing/>
      </w:pPr>
    </w:p>
    <w:p w14:paraId="79D51E3A" w14:textId="77777777" w:rsidR="00C83FD5" w:rsidRDefault="00C83FD5" w:rsidP="00471C68">
      <w:pPr>
        <w:spacing w:after="120" w:line="480" w:lineRule="auto"/>
        <w:contextualSpacing/>
      </w:pPr>
    </w:p>
    <w:p w14:paraId="0D34991C" w14:textId="77777777" w:rsidR="00C83FD5" w:rsidRDefault="00C83FD5" w:rsidP="00471C68">
      <w:pPr>
        <w:spacing w:after="120" w:line="480" w:lineRule="auto"/>
        <w:contextualSpacing/>
      </w:pPr>
    </w:p>
    <w:p w14:paraId="4C7C847E" w14:textId="77777777" w:rsidR="00C83FD5" w:rsidRDefault="00C83FD5" w:rsidP="00471C68">
      <w:pPr>
        <w:spacing w:after="120" w:line="480" w:lineRule="auto"/>
        <w:contextualSpacing/>
      </w:pPr>
    </w:p>
    <w:p w14:paraId="250C1009" w14:textId="77777777" w:rsidR="00C83FD5" w:rsidRDefault="00C83FD5" w:rsidP="00471C68">
      <w:pPr>
        <w:spacing w:after="120" w:line="480" w:lineRule="auto"/>
        <w:contextualSpacing/>
      </w:pPr>
    </w:p>
    <w:p w14:paraId="73545D0E" w14:textId="77777777" w:rsidR="00C83FD5" w:rsidRDefault="00C83FD5" w:rsidP="00471C68">
      <w:pPr>
        <w:spacing w:after="120" w:line="480" w:lineRule="auto"/>
        <w:contextualSpacing/>
      </w:pPr>
    </w:p>
    <w:p w14:paraId="661EC367" w14:textId="77777777" w:rsidR="00C83FD5" w:rsidRDefault="00C83FD5" w:rsidP="00471C68">
      <w:pPr>
        <w:spacing w:after="120" w:line="480" w:lineRule="auto"/>
        <w:contextualSpacing/>
      </w:pPr>
    </w:p>
    <w:p w14:paraId="7FCAADD8" w14:textId="453B3F81" w:rsidR="00090169" w:rsidRPr="00C83FD5" w:rsidRDefault="00090169" w:rsidP="00471C68">
      <w:pPr>
        <w:spacing w:after="120" w:line="480" w:lineRule="auto"/>
        <w:contextualSpacing/>
        <w:rPr>
          <w:b/>
          <w:bCs/>
        </w:rPr>
      </w:pPr>
      <w:r w:rsidRPr="00C83FD5">
        <w:rPr>
          <w:b/>
          <w:bCs/>
        </w:rPr>
        <w:lastRenderedPageBreak/>
        <w:t>Abstract</w:t>
      </w:r>
    </w:p>
    <w:p w14:paraId="03CFF8CA" w14:textId="3E46DDE7" w:rsidR="00090169" w:rsidRPr="0073063D" w:rsidRDefault="00090169" w:rsidP="00C83FD5">
      <w:pPr>
        <w:spacing w:after="120" w:line="480" w:lineRule="auto"/>
        <w:ind w:firstLine="720"/>
        <w:contextualSpacing/>
      </w:pPr>
      <w:r w:rsidRPr="0073063D">
        <w:t xml:space="preserve">Protein mediators determine canonical histone complex variants. The canonical histone complex H2A variant, H2A.Z, is of specific interest due to its </w:t>
      </w:r>
      <w:proofErr w:type="gramStart"/>
      <w:r w:rsidRPr="0073063D">
        <w:t>isoforms</w:t>
      </w:r>
      <w:proofErr w:type="gramEnd"/>
      <w:r w:rsidRPr="0073063D">
        <w:t xml:space="preserve">. Of significance, the zinc-finger nuclear protein, Jaz-F1, is known to mediate depletion changes in its resulting transcriptome. Jaz-F1 controls H2A.Z acetylation at specific regulatory regions and directs H2A.Z acetylation.  The presence or absence of Jaz-F1 at </w:t>
      </w:r>
      <w:proofErr w:type="gramStart"/>
      <w:r w:rsidRPr="0073063D">
        <w:t>particular genomic</w:t>
      </w:r>
      <w:proofErr w:type="gramEnd"/>
      <w:r w:rsidRPr="0073063D">
        <w:t xml:space="preserve"> regions indicates the respective increase or decrease of overall H2A.Z acetylation. When Jaz-F1 depletes, genes involved in ribosome biogenesis are deregulated indicating a biomolecular conformational change of chromatin structure via the histone complex acetylate alterations.  </w:t>
      </w:r>
      <w:r w:rsidR="00C83FD5">
        <w:t xml:space="preserve"> </w:t>
      </w:r>
      <w:r w:rsidRPr="0073063D">
        <w:t xml:space="preserve">The techniques used to extract, isolate and identify specific histones can be costly and involve multiple technical processes. The NUT-PAGE technique is cost effective and linear in technical processes. The utilization specific to this experiment involves histone modification specific antibodies which were implemented to tag histones following progeny crossing in </w:t>
      </w:r>
      <w:r w:rsidRPr="00471C68">
        <w:rPr>
          <w:i/>
          <w:iCs/>
        </w:rPr>
        <w:t>Drosophila</w:t>
      </w:r>
      <w:r w:rsidRPr="0073063D">
        <w:t xml:space="preserve"> </w:t>
      </w:r>
      <w:r w:rsidRPr="00471C68">
        <w:rPr>
          <w:i/>
          <w:iCs/>
        </w:rPr>
        <w:t>melanogaster</w:t>
      </w:r>
      <w:r w:rsidRPr="0073063D">
        <w:t xml:space="preserve"> for Jaz-F1 overexpression and knockdown gene lines. NUT-PAGE and SDS-PAGE were run concurrently for Western blot techniques and the use of polytene chromosome analysis to further identify Jaz-F1's histone presence.  </w:t>
      </w:r>
    </w:p>
    <w:p w14:paraId="6CEA0359" w14:textId="4DB7AD16" w:rsidR="00090169" w:rsidRPr="0073063D" w:rsidRDefault="00090169" w:rsidP="00C83FD5">
      <w:pPr>
        <w:spacing w:after="120" w:line="480" w:lineRule="auto"/>
        <w:ind w:firstLine="720"/>
        <w:contextualSpacing/>
      </w:pPr>
      <w:r w:rsidRPr="0073063D">
        <w:t xml:space="preserve">However, the experimental techniques yielded no significant results or data. It is concluded that experimental </w:t>
      </w:r>
      <w:r w:rsidR="00D56D5F" w:rsidRPr="0073063D">
        <w:t>errors</w:t>
      </w:r>
      <w:r w:rsidRPr="0073063D">
        <w:t xml:space="preserve"> occurred. </w:t>
      </w:r>
      <w:r w:rsidR="00D56D5F" w:rsidRPr="0073063D">
        <w:t>Resolving</w:t>
      </w:r>
      <w:r w:rsidRPr="0073063D">
        <w:t xml:space="preserve"> acetylated and phosphorylated proteins via altered net charge of post translational modifications is an essential tool. The methodologies contribute to understanding of canonical and isoform histones, protein </w:t>
      </w:r>
      <w:r w:rsidRPr="0073063D">
        <w:lastRenderedPageBreak/>
        <w:t xml:space="preserve">networks, roles in genetic structure and regulatory functioning from a relative mechanistic perspective with great interdisciplinary significance.  </w:t>
      </w:r>
    </w:p>
    <w:p w14:paraId="5E9B52D9" w14:textId="50A96FC7" w:rsidR="00090169" w:rsidRPr="00471C68" w:rsidRDefault="00090169" w:rsidP="00471C68">
      <w:pPr>
        <w:spacing w:after="120" w:line="480" w:lineRule="auto"/>
        <w:contextualSpacing/>
        <w:rPr>
          <w:b/>
          <w:bCs/>
        </w:rPr>
      </w:pPr>
      <w:r w:rsidRPr="00471C68">
        <w:rPr>
          <w:b/>
          <w:bCs/>
        </w:rPr>
        <w:t>Introduction and Background</w:t>
      </w:r>
    </w:p>
    <w:p w14:paraId="58387E79" w14:textId="350A8EF1" w:rsidR="00090169" w:rsidRPr="00471C68" w:rsidRDefault="00090169" w:rsidP="00471C68">
      <w:pPr>
        <w:spacing w:after="120" w:line="480" w:lineRule="auto"/>
        <w:contextualSpacing/>
        <w:rPr>
          <w:i/>
          <w:iCs/>
        </w:rPr>
      </w:pPr>
      <w:r w:rsidRPr="00471C68">
        <w:rPr>
          <w:i/>
          <w:iCs/>
        </w:rPr>
        <w:t>Chromatin and Histones</w:t>
      </w:r>
    </w:p>
    <w:p w14:paraId="0D767999" w14:textId="7A3FDDBF" w:rsidR="00090169" w:rsidRDefault="00090169" w:rsidP="00471C68">
      <w:pPr>
        <w:spacing w:after="120" w:line="480" w:lineRule="auto"/>
        <w:ind w:firstLine="720"/>
        <w:contextualSpacing/>
      </w:pPr>
      <w:r w:rsidRPr="0073063D">
        <w:t xml:space="preserve">Histones are the major macromolecular proteins which compose chromatin. Where chromatin is the structural formation of the eukaryotic genome, its structure dictates the processes in gene regulation at an epigenetic level. It </w:t>
      </w:r>
      <w:r w:rsidR="00471C68" w:rsidRPr="0073063D">
        <w:t>can</w:t>
      </w:r>
      <w:r w:rsidRPr="0073063D">
        <w:t xml:space="preserve"> compact DNA, repair damaged DNA, process RNA, stabilize the chromosome and be involved in progression in cell cycles. Chromatin is wrapped around an octamer of histone proteins. Histones are a major interconnected mechanism. They are the major protein components of chromatin with extensive roles. Their identification and causative relationships </w:t>
      </w:r>
      <w:proofErr w:type="gramStart"/>
      <w:r w:rsidRPr="0073063D">
        <w:t>is</w:t>
      </w:r>
      <w:proofErr w:type="gramEnd"/>
      <w:r w:rsidRPr="0073063D">
        <w:t xml:space="preserve"> crucial to understanding epigenetic expression modification signatures; this results in further evidence of specific genomic regulatory sites and the relationships within these complementary gene associations. When histones were first isolated in 1996, it was discovered that histones acetyltransferase and deacetylase were regulating transcription. Following gene translation, histones are heavily modified, sequentially modifying structure and thus, gene expression (Schecter et al., 2007). Histone variants have differences from their canonical lineage. They vary in amino acid sequencing, expression activation due to enzymatic factors, sites for genomic localization and serve unique functions (Cheung et al., 2000).  </w:t>
      </w:r>
    </w:p>
    <w:p w14:paraId="5DE38601" w14:textId="77777777" w:rsidR="00471C68" w:rsidRPr="0073063D" w:rsidRDefault="00471C68" w:rsidP="00471C68">
      <w:pPr>
        <w:spacing w:after="120" w:line="480" w:lineRule="auto"/>
        <w:contextualSpacing/>
        <w:rPr>
          <w:i/>
          <w:iCs/>
        </w:rPr>
      </w:pPr>
      <w:r w:rsidRPr="0073063D">
        <w:rPr>
          <w:i/>
          <w:iCs/>
        </w:rPr>
        <w:t>The Biophysical Role of Histones and Their Variants in Molecular Pathogenesis</w:t>
      </w:r>
    </w:p>
    <w:p w14:paraId="7C98B34B" w14:textId="77777777" w:rsidR="00471C68" w:rsidRPr="0073063D" w:rsidRDefault="00471C68" w:rsidP="00471C68">
      <w:pPr>
        <w:spacing w:after="120" w:line="480" w:lineRule="auto"/>
        <w:ind w:firstLine="720"/>
        <w:contextualSpacing/>
      </w:pPr>
      <w:r w:rsidRPr="0073063D">
        <w:t xml:space="preserve">From a molecular </w:t>
      </w:r>
      <w:proofErr w:type="gramStart"/>
      <w:r w:rsidRPr="0073063D">
        <w:t>biophysics</w:t>
      </w:r>
      <w:proofErr w:type="gramEnd"/>
      <w:r w:rsidRPr="0073063D">
        <w:t xml:space="preserve"> perspective, histones are not merely passive scaffolds for DNA packaging; they are dynamic regulators of chromatin structure and function, </w:t>
      </w:r>
      <w:r w:rsidRPr="0073063D">
        <w:lastRenderedPageBreak/>
        <w:t xml:space="preserve">governed by physical principles such as electrostatic interactions, conformational energetics, and mechanical forces. Histones—core proteins H2A, H2B, H3, and H4—assemble into octamers around which approximately 147 base pairs of DNA wrap in a left-handed superhelix to form nucleosomes, the fundamental units of chromatin. This wrapping creates periodic interactions every 10-11 base </w:t>
      </w:r>
      <w:proofErr w:type="gramStart"/>
      <w:r w:rsidRPr="0073063D">
        <w:t>pairs</w:t>
      </w:r>
      <w:proofErr w:type="gramEnd"/>
      <w:r w:rsidRPr="0073063D">
        <w:t xml:space="preserve">, alternating between minor and major groove orientations relative to the histone core. The biophysical properties of this assembly, including nucleosome stability (measured in energy barriers like kJ/mol for DNA unwrapping), charge distribution, and higher-order folding into chromatin fibers, directly influence DNA accessibility, replication, transcription, repair, and overall genomic integrity. Histone variants, which differ in sequence from canonical histones, introduce structural perturbations that alter these properties, often leading to pathogenesis when dysregulated.  </w:t>
      </w:r>
    </w:p>
    <w:p w14:paraId="092349C6" w14:textId="77777777" w:rsidR="00471C68" w:rsidRPr="0073063D" w:rsidRDefault="00471C68" w:rsidP="00471C68">
      <w:pPr>
        <w:spacing w:after="120" w:line="480" w:lineRule="auto"/>
        <w:ind w:firstLine="720"/>
        <w:contextualSpacing/>
      </w:pPr>
      <w:r w:rsidRPr="0073063D">
        <w:t xml:space="preserve">In molecular </w:t>
      </w:r>
      <w:proofErr w:type="gramStart"/>
      <w:r w:rsidRPr="0073063D">
        <w:t>pathogenesis</w:t>
      </w:r>
      <w:proofErr w:type="gramEnd"/>
      <w:r w:rsidRPr="0073063D">
        <w:t xml:space="preserve"> histones and their variants play a universal role by modulating epigenetic landscapes. This is applicable across all diseases because virtually every pathological state involves altered gene expression, genomic instability, or cellular dysfunction, all of which are epigenetically regulated. For instance, post-translational modifications (PTMs) on histone tails (e.g., acetylation, methylation) change the net charge and hydrophobicity, affecting nucleosome-nucleosome interactions and chromatin compaction. Mutations or aberrant variant incorporation can shift energy landscapes, making chromatin </w:t>
      </w:r>
      <w:proofErr w:type="gramStart"/>
      <w:r w:rsidRPr="0073063D">
        <w:t>more or less accessible</w:t>
      </w:r>
      <w:proofErr w:type="gramEnd"/>
      <w:r w:rsidRPr="0073063D">
        <w:t xml:space="preserve">, which cascades into disease-specific outcomes. Below, I expand on these mechanisms, drawing from biophysical principles, and illustrate their broad applicability.  </w:t>
      </w:r>
    </w:p>
    <w:p w14:paraId="72685024" w14:textId="77777777" w:rsidR="00471C68" w:rsidRPr="0073063D" w:rsidRDefault="00471C68" w:rsidP="00471C68">
      <w:pPr>
        <w:spacing w:after="120" w:line="480" w:lineRule="auto"/>
        <w:contextualSpacing/>
        <w:rPr>
          <w:i/>
          <w:iCs/>
        </w:rPr>
      </w:pPr>
      <w:r w:rsidRPr="0073063D">
        <w:rPr>
          <w:i/>
          <w:iCs/>
        </w:rPr>
        <w:lastRenderedPageBreak/>
        <w:t>Structural Dynamics and Nucleosome Stability</w:t>
      </w:r>
    </w:p>
    <w:p w14:paraId="26D77C07" w14:textId="77777777" w:rsidR="00471C68" w:rsidRPr="0073063D" w:rsidRDefault="00471C68" w:rsidP="00471C68">
      <w:pPr>
        <w:spacing w:after="120" w:line="480" w:lineRule="auto"/>
        <w:ind w:firstLine="720"/>
        <w:contextualSpacing/>
      </w:pPr>
      <w:r w:rsidRPr="0073063D">
        <w:t xml:space="preserve">Histones maintain chromatin as a dynamic polymer, where nucleosomes act as "beads on a string." Biophysically, the free energy barrier for DNA unwrapping from the histone core is around 17-18 kJ/mol in canonical nucleosomes, requiring ATP-dependent remodelers to overcome it for processes like transcription. Variants like H2A.Z or H3.3 alter this barrier by changing interface interactions (e.g., hydrogen bonds, hydrophobic contacts), making nucleosomes more labile or stable. For example, the H2A.Z variant stabilizes nucleosomes at promoters but destabilizes them at enhancers, facilitating transcription </w:t>
      </w:r>
      <w:proofErr w:type="gramStart"/>
      <w:r w:rsidRPr="0073063D">
        <w:t>factor</w:t>
      </w:r>
      <w:proofErr w:type="gramEnd"/>
      <w:r w:rsidRPr="0073063D">
        <w:t xml:space="preserve"> binding through reduced steric hindrance.  </w:t>
      </w:r>
    </w:p>
    <w:p w14:paraId="33BDD144" w14:textId="77777777" w:rsidR="00471C68" w:rsidRPr="0073063D" w:rsidRDefault="00471C68" w:rsidP="00471C68">
      <w:pPr>
        <w:spacing w:after="120" w:line="480" w:lineRule="auto"/>
        <w:ind w:firstLine="720"/>
        <w:contextualSpacing/>
      </w:pPr>
      <w:r w:rsidRPr="0073063D">
        <w:t xml:space="preserve">In pathogenesis, mutations like H2B G53D weaken histone-DNA contacts, lowering the unwrapping barrier to ~9.7 kJ/mol, which promotes aberrant RNA polymerase passage and gene overexpression. This biophysical shift increases mutation rates due to periodic (10 bp) lesion formation—nucleosomes shield inward-facing DNA but slow repair enzymes like those in base excision repair (BER) or nucleotide excision repair (NER), leading to genomic instability common in diseases.  </w:t>
      </w:r>
    </w:p>
    <w:p w14:paraId="1411E470" w14:textId="77777777" w:rsidR="00471C68" w:rsidRPr="0073063D" w:rsidRDefault="00471C68" w:rsidP="00471C68">
      <w:pPr>
        <w:spacing w:after="120" w:line="480" w:lineRule="auto"/>
        <w:contextualSpacing/>
        <w:rPr>
          <w:i/>
          <w:iCs/>
        </w:rPr>
      </w:pPr>
      <w:r w:rsidRPr="0073063D">
        <w:rPr>
          <w:i/>
          <w:iCs/>
        </w:rPr>
        <w:t>Electrostatic and Charge-Based Interactions via PTMs</w:t>
      </w:r>
    </w:p>
    <w:p w14:paraId="0D756226" w14:textId="77777777" w:rsidR="00471C68" w:rsidRPr="0073063D" w:rsidRDefault="00471C68" w:rsidP="00471C68">
      <w:pPr>
        <w:spacing w:after="120" w:line="480" w:lineRule="auto"/>
        <w:ind w:firstLine="720"/>
        <w:contextualSpacing/>
      </w:pPr>
      <w:r w:rsidRPr="0073063D">
        <w:t xml:space="preserve">Histone tails are rich in positively charged </w:t>
      </w:r>
      <w:proofErr w:type="spellStart"/>
      <w:r w:rsidRPr="0073063D">
        <w:t>lysines</w:t>
      </w:r>
      <w:proofErr w:type="spellEnd"/>
      <w:r w:rsidRPr="0073063D">
        <w:t xml:space="preserve"> and </w:t>
      </w:r>
      <w:proofErr w:type="spellStart"/>
      <w:r w:rsidRPr="0073063D">
        <w:t>arginines</w:t>
      </w:r>
      <w:proofErr w:type="spellEnd"/>
      <w:r w:rsidRPr="0073063D">
        <w:t xml:space="preserve">, creating electrostatic repulsion or attraction with negatively charged DNA. PTMs like acetylation neutralize lysine charges (converting +1 to neutral), reducing nucleosome compaction and increasing DNA accessibility (euchromatin formation). Methylation, conversely, can enhance hydrophobicity without charge change, recruiting binding proteins via van der Waals forces.  </w:t>
      </w:r>
    </w:p>
    <w:p w14:paraId="6B430DE4" w14:textId="77777777" w:rsidR="00471C68" w:rsidRPr="0073063D" w:rsidRDefault="00471C68" w:rsidP="00471C68">
      <w:pPr>
        <w:spacing w:after="120" w:line="480" w:lineRule="auto"/>
        <w:ind w:firstLine="720"/>
        <w:contextualSpacing/>
      </w:pPr>
      <w:r w:rsidRPr="0073063D">
        <w:lastRenderedPageBreak/>
        <w:t xml:space="preserve">Biophysically, these modifications alter the persistence length of chromatin fibers (a measure of stiffness) and the sedimentation coefficient, affecting higher-order structures like 30 nm fibers. Variants introduce unique PTM sites; for instance, H3.3 has serine 31 (absent in canonical H3), allowing phosphorylation that modulates mitotic chromatin condensation through altered electrostatics (Ogawa et al., 2003).  </w:t>
      </w:r>
    </w:p>
    <w:p w14:paraId="0678C59D" w14:textId="77777777" w:rsidR="00471C68" w:rsidRPr="0073063D" w:rsidRDefault="00471C68" w:rsidP="00471C68">
      <w:pPr>
        <w:spacing w:after="120" w:line="480" w:lineRule="auto"/>
        <w:contextualSpacing/>
        <w:rPr>
          <w:i/>
          <w:iCs/>
        </w:rPr>
      </w:pPr>
      <w:r w:rsidRPr="0073063D">
        <w:rPr>
          <w:i/>
          <w:iCs/>
        </w:rPr>
        <w:t>Variant-Specific Interactions and Chaperone Dynamics</w:t>
      </w:r>
    </w:p>
    <w:p w14:paraId="6241CD28" w14:textId="77777777" w:rsidR="00471C68" w:rsidRPr="0073063D" w:rsidRDefault="00471C68" w:rsidP="00471C68">
      <w:pPr>
        <w:spacing w:after="120" w:line="480" w:lineRule="auto"/>
        <w:ind w:firstLine="720"/>
        <w:contextualSpacing/>
      </w:pPr>
      <w:r w:rsidRPr="0073063D">
        <w:t xml:space="preserve">Histone variants are deposited by specific chaperones (e.g., DAXX for H3.3), involving biophysical processes like allosteric conformational changes and binding affinities (measured by </w:t>
      </w:r>
      <w:proofErr w:type="spellStart"/>
      <w:r w:rsidRPr="0073063D">
        <w:t>Kd</w:t>
      </w:r>
      <w:proofErr w:type="spellEnd"/>
      <w:r w:rsidRPr="0073063D">
        <w:t xml:space="preserve"> values). Variants like macroH2A have extended domains that increase nucleosome spacing, altering chromatin looping and long-range interactions via entropic forces.  In disease, overexpression of variants like CENP-A leads to ectopic centromere formation, causing aneuploidy through kinetochore misalignment— a mechanical failure in chromosome segregation driven by altered protein-DNA affinities (Hull et al., 2016).  </w:t>
      </w:r>
    </w:p>
    <w:p w14:paraId="11686F6B" w14:textId="77777777" w:rsidR="00471C68" w:rsidRPr="0073063D" w:rsidRDefault="00471C68" w:rsidP="00471C68">
      <w:pPr>
        <w:spacing w:after="120" w:line="480" w:lineRule="auto"/>
        <w:contextualSpacing/>
        <w:rPr>
          <w:i/>
          <w:iCs/>
        </w:rPr>
      </w:pPr>
      <w:r w:rsidRPr="0073063D">
        <w:rPr>
          <w:i/>
          <w:iCs/>
        </w:rPr>
        <w:t xml:space="preserve">Role in Molecular Pathogenesis: A Universal Framework  </w:t>
      </w:r>
    </w:p>
    <w:p w14:paraId="6E872752" w14:textId="77777777" w:rsidR="00471C68" w:rsidRPr="0073063D" w:rsidRDefault="00471C68" w:rsidP="00471C68">
      <w:pPr>
        <w:spacing w:after="120" w:line="480" w:lineRule="auto"/>
        <w:ind w:firstLine="720"/>
        <w:contextualSpacing/>
      </w:pPr>
      <w:r w:rsidRPr="0073063D">
        <w:t xml:space="preserve">Histone dysregulation contributes to pathogenesis by disrupting the biophysical equilibrium of chromatin, leading to three core outcomes: (1) aberrant gene expression, (2) genomic instability, and (3) impaired cellular signaling. This framework applies universally because epigenetics intersects with genetic, environmental, and stochastic factors in all diseases.  </w:t>
      </w:r>
    </w:p>
    <w:p w14:paraId="51FC719E" w14:textId="77777777" w:rsidR="00471C68" w:rsidRPr="0073063D" w:rsidRDefault="00471C68" w:rsidP="00471C68">
      <w:pPr>
        <w:spacing w:after="120" w:line="480" w:lineRule="auto"/>
        <w:contextualSpacing/>
        <w:rPr>
          <w:i/>
          <w:iCs/>
        </w:rPr>
      </w:pPr>
      <w:r w:rsidRPr="0073063D">
        <w:rPr>
          <w:i/>
          <w:iCs/>
        </w:rPr>
        <w:t>Aberrant Gene Expression</w:t>
      </w:r>
    </w:p>
    <w:p w14:paraId="5C9FABEA" w14:textId="0BDAFC36" w:rsidR="00471C68" w:rsidRPr="0073063D" w:rsidRDefault="00471C68" w:rsidP="00471C68">
      <w:pPr>
        <w:spacing w:after="120" w:line="480" w:lineRule="auto"/>
        <w:contextualSpacing/>
      </w:pPr>
      <w:r w:rsidRPr="0073063D">
        <w:lastRenderedPageBreak/>
        <w:t xml:space="preserve"> </w:t>
      </w:r>
      <w:r w:rsidRPr="0073063D">
        <w:tab/>
        <w:t xml:space="preserve">Mutations like H3K27M (in ~80% of pediatric gliomas) inhibit </w:t>
      </w:r>
      <w:proofErr w:type="spellStart"/>
      <w:r w:rsidRPr="0073063D">
        <w:t>polycomb</w:t>
      </w:r>
      <w:proofErr w:type="spellEnd"/>
      <w:r w:rsidRPr="0073063D">
        <w:t xml:space="preserve"> repressive complex 2 (PRC2) through steric clashes, reducing global H3K27 trimethylation and derepressing oncogenes. Biophysically, this "K-to-M" switch reprograms the epigenetic landscape by altering enzyme-substrate interactions, increasing entropy in chromatin states and promoting proliferation. Similarly, in neurodegenerative diseases like Alzheimer's, hyperphosphorylation of H3/H4 tails (via kinases like GSK3β) compacts chromatin, silencing neuroprotective genes and exacerbating tau pathology through reduced DNA accessibility.  </w:t>
      </w:r>
    </w:p>
    <w:p w14:paraId="749310F6" w14:textId="77777777" w:rsidR="00471C68" w:rsidRPr="0073063D" w:rsidRDefault="00471C68" w:rsidP="00471C68">
      <w:pPr>
        <w:spacing w:after="120" w:line="480" w:lineRule="auto"/>
        <w:contextualSpacing/>
        <w:rPr>
          <w:i/>
          <w:iCs/>
        </w:rPr>
      </w:pPr>
      <w:r w:rsidRPr="0073063D">
        <w:rPr>
          <w:i/>
          <w:iCs/>
        </w:rPr>
        <w:t>Genomic Instability</w:t>
      </w:r>
    </w:p>
    <w:p w14:paraId="48FEAF38" w14:textId="77777777" w:rsidR="00471C68" w:rsidRPr="0073063D" w:rsidRDefault="00471C68" w:rsidP="00471C68">
      <w:pPr>
        <w:spacing w:after="120" w:line="480" w:lineRule="auto"/>
        <w:ind w:firstLine="720"/>
        <w:contextualSpacing/>
      </w:pPr>
      <w:r w:rsidRPr="0073063D">
        <w:t xml:space="preserve">Nucleosome positioning creates mutation hotspots; inward-oriented DNA is prone to damage (e.g., UV-induced </w:t>
      </w:r>
      <w:proofErr w:type="spellStart"/>
      <w:r w:rsidRPr="0073063D">
        <w:t>cyclobutane</w:t>
      </w:r>
      <w:proofErr w:type="spellEnd"/>
      <w:r w:rsidRPr="0073063D">
        <w:t xml:space="preserve"> pyrimidine dimers) but repair is hindered near the dyad axis due to steric barriers. Variants like H2A.Z.1 promote neo-enhancer formation in cancers (e.g., prostate), looping distant regulatory elements via altered chromatin flexibility (Valdés-Mora et al., 2017). In infectious diseases, pathogens like </w:t>
      </w:r>
      <w:proofErr w:type="gramStart"/>
      <w:r w:rsidRPr="0073063D">
        <w:t>viruses</w:t>
      </w:r>
      <w:proofErr w:type="gramEnd"/>
      <w:r w:rsidRPr="0073063D">
        <w:t xml:space="preserve"> hijack host histones (e.g., HIV integrates near H3K36me3-marked nucleosomes), exploiting biophysical preferences for open chromatin to propagate.  </w:t>
      </w:r>
    </w:p>
    <w:p w14:paraId="6D94C8F0" w14:textId="77777777" w:rsidR="00471C68" w:rsidRPr="0073063D" w:rsidRDefault="00471C68" w:rsidP="00471C68">
      <w:pPr>
        <w:spacing w:after="120" w:line="480" w:lineRule="auto"/>
        <w:contextualSpacing/>
        <w:rPr>
          <w:i/>
          <w:iCs/>
        </w:rPr>
      </w:pPr>
      <w:r w:rsidRPr="0073063D">
        <w:rPr>
          <w:i/>
          <w:iCs/>
        </w:rPr>
        <w:t>Impaired Cellular Signaling</w:t>
      </w:r>
    </w:p>
    <w:p w14:paraId="7FED97F8" w14:textId="77777777" w:rsidR="00471C68" w:rsidRPr="0073063D" w:rsidRDefault="00471C68" w:rsidP="00471C68">
      <w:pPr>
        <w:spacing w:after="120" w:line="480" w:lineRule="auto"/>
        <w:ind w:firstLine="720"/>
        <w:contextualSpacing/>
      </w:pPr>
      <w:r w:rsidRPr="0073063D">
        <w:t>In metabolic diseases (e.g., type 2 diabetes), JazF1-mediated deacetylation of H2A.Z reduces chromatin density, deregulating ribosome biogenesis genes and insulin signaling pathways, as seen in the original manuscript (</w:t>
      </w:r>
      <w:proofErr w:type="spellStart"/>
      <w:r w:rsidRPr="0073063D">
        <w:t>Clocchiatti</w:t>
      </w:r>
      <w:proofErr w:type="spellEnd"/>
      <w:r w:rsidRPr="0073063D">
        <w:t xml:space="preserve"> et al., 2021).  </w:t>
      </w:r>
    </w:p>
    <w:p w14:paraId="58EBFDCD" w14:textId="77777777" w:rsidR="00471C68" w:rsidRPr="0073063D" w:rsidRDefault="00471C68" w:rsidP="00471C68">
      <w:pPr>
        <w:spacing w:after="120" w:line="480" w:lineRule="auto"/>
        <w:contextualSpacing/>
        <w:rPr>
          <w:i/>
          <w:iCs/>
        </w:rPr>
      </w:pPr>
      <w:r w:rsidRPr="0073063D">
        <w:rPr>
          <w:i/>
          <w:iCs/>
        </w:rPr>
        <w:t xml:space="preserve">Applicability Across All Disease Pathogenesis  </w:t>
      </w:r>
    </w:p>
    <w:p w14:paraId="70749349" w14:textId="77777777" w:rsidR="00471C68" w:rsidRPr="0073063D" w:rsidRDefault="00471C68" w:rsidP="00471C68">
      <w:pPr>
        <w:spacing w:after="120" w:line="480" w:lineRule="auto"/>
        <w:contextualSpacing/>
      </w:pPr>
      <w:r w:rsidRPr="0073063D">
        <w:lastRenderedPageBreak/>
        <w:t>The biophysical roles of histones transcend specific diseases because chromatin is the nexus for integrating cellular signals.   In cancer, such as endometrial carcinoma, mutations inhibit PTM enzymes, altering binding affinities and increasing mutation periodicity, resulting in reduced energy barriers for DNA unwrapping and steric inhibition of repair complexes (Valdés-Mora et al., 2017).   In neurodegenerative disease, aberrant PTMs compact chromatin, silencing genes via increased electrostatic repulsion, resulting in altered fiber persistence length; entropic barriers to transcription. For example, Alzheimer's having H3 hyperphosphorylation and Parkinson's Disease having H2A.Z in alpha-synuclein aggregation.   In inflammatory and autoimmune disease, there exists variant overexpression (e.g., macroH2A loss) which disrupts heterochromatin, derepressing repeats. This results in changes in nucleosome spacing and looping forces, as seen in rheumatoid arthritis and systemic lupus (H1 loss mimics immune activation).     In metabolic and genetic disorders, deacetylation reduces charge, exponentially loosening structure over replications.  This results in cumulative entropic shifts in chromatin density.  For example, in Type 2 diabetes with JazF1-H2A.Z and Rubinstein-</w:t>
      </w:r>
      <w:proofErr w:type="spellStart"/>
      <w:r w:rsidRPr="0073063D">
        <w:t>Taybi</w:t>
      </w:r>
      <w:proofErr w:type="spellEnd"/>
      <w:r w:rsidRPr="0073063D">
        <w:t xml:space="preserve"> syndrome with histone acetyltransferase mutations (</w:t>
      </w:r>
      <w:proofErr w:type="spellStart"/>
      <w:r w:rsidRPr="0073063D">
        <w:t>Clocchiatti</w:t>
      </w:r>
      <w:proofErr w:type="spellEnd"/>
      <w:r w:rsidRPr="0073063D">
        <w:t xml:space="preserve"> et al., 2021).   In infectious diseases where pathogen-induced variant incorporation alters accessibility for viral integration which results in biased nucleosome positioning favoring open regions.  For example, in HIV H3.3 at integration sites and SARS with histone mimicry sites.</w:t>
      </w:r>
    </w:p>
    <w:p w14:paraId="08FC9B6E" w14:textId="03BD824B" w:rsidR="00471C68" w:rsidRPr="0073063D" w:rsidRDefault="00471C68" w:rsidP="00471C68">
      <w:pPr>
        <w:spacing w:after="120" w:line="480" w:lineRule="auto"/>
        <w:ind w:firstLine="720"/>
        <w:contextualSpacing/>
      </w:pPr>
      <w:r w:rsidRPr="0073063D">
        <w:t xml:space="preserve">In summary, histones and variants act as biophysical gatekeepers, where small perturbations (e.g., a single mutation changing interaction energy by a few kJ/mol) amplify </w:t>
      </w:r>
      <w:r w:rsidRPr="0073063D">
        <w:lastRenderedPageBreak/>
        <w:t xml:space="preserve">into systemic pathogenesis. This universality stems from epigenetics' role in all cells, making histone-targeted therapies (e.g., HDAC inhibitors) promising across diseases. </w:t>
      </w:r>
    </w:p>
    <w:p w14:paraId="13C75207" w14:textId="500C1C3B" w:rsidR="00090169" w:rsidRPr="00471C68" w:rsidRDefault="00090169" w:rsidP="00471C68">
      <w:pPr>
        <w:spacing w:after="120" w:line="480" w:lineRule="auto"/>
        <w:contextualSpacing/>
        <w:rPr>
          <w:i/>
          <w:iCs/>
        </w:rPr>
      </w:pPr>
      <w:r w:rsidRPr="00471C68">
        <w:rPr>
          <w:i/>
          <w:iCs/>
        </w:rPr>
        <w:t>Modifications</w:t>
      </w:r>
    </w:p>
    <w:p w14:paraId="558A5F84" w14:textId="0719B32B" w:rsidR="00090169" w:rsidRPr="0073063D" w:rsidRDefault="00471C68" w:rsidP="00471C68">
      <w:pPr>
        <w:spacing w:after="120" w:line="480" w:lineRule="auto"/>
        <w:ind w:firstLine="720"/>
        <w:contextualSpacing/>
      </w:pPr>
      <w:r>
        <w:t>P</w:t>
      </w:r>
      <w:r w:rsidR="00090169" w:rsidRPr="0073063D">
        <w:t xml:space="preserve">ost translational modifications include methylation, phosphorylation and acetylation which indicates how tightly wound the chromatin complex structures are around the histone (and therefore the nucleosome) indicative of histone protein cores and variants. Protein acetylation is a modification that is key in regulating normal and pathological functioning of proteins. When a gene is overexpressed or </w:t>
      </w:r>
      <w:proofErr w:type="gramStart"/>
      <w:r w:rsidR="00090169" w:rsidRPr="0073063D">
        <w:t>knocked-down</w:t>
      </w:r>
      <w:proofErr w:type="gramEnd"/>
      <w:r w:rsidR="00090169" w:rsidRPr="0073063D">
        <w:t xml:space="preserve">, it is due to the roles of histone variants. The histone complex H2A, specifically H2A.Z, controls post-transcriptional modifications and the presence of H2A.Z directly contributes to the encoding of genetic information. H2A.Z is a focal point </w:t>
      </w:r>
      <w:proofErr w:type="gramStart"/>
      <w:r w:rsidR="00090169" w:rsidRPr="0073063D">
        <w:t>for</w:t>
      </w:r>
      <w:proofErr w:type="gramEnd"/>
      <w:r w:rsidR="00090169" w:rsidRPr="0073063D">
        <w:t xml:space="preserve"> its role in epigenetic regulation is sequential. The resulting structural conformations are known to contribute to epigenetic encoding information changes (Van Holde, 1989). The evolution of the role of protein influences, such as reduction of acetyl presence due to Jaz-F1 mediation, corrupts the integrity of the original chromatin strands. The function of the gene is ultimately changed as a paralleled effect of structural changes.  </w:t>
      </w:r>
    </w:p>
    <w:p w14:paraId="0093B2D8" w14:textId="72EAC408" w:rsidR="00090169" w:rsidRPr="00471C68" w:rsidRDefault="00090169" w:rsidP="00471C68">
      <w:pPr>
        <w:spacing w:after="120" w:line="480" w:lineRule="auto"/>
        <w:contextualSpacing/>
        <w:rPr>
          <w:i/>
          <w:iCs/>
        </w:rPr>
      </w:pPr>
      <w:r w:rsidRPr="00471C68">
        <w:rPr>
          <w:i/>
          <w:iCs/>
        </w:rPr>
        <w:t>Jaz-F1</w:t>
      </w:r>
    </w:p>
    <w:p w14:paraId="78711955" w14:textId="7F965A1D" w:rsidR="00090169" w:rsidRPr="0073063D" w:rsidRDefault="00090169" w:rsidP="00471C68">
      <w:pPr>
        <w:spacing w:after="120" w:line="480" w:lineRule="auto"/>
        <w:ind w:firstLine="720"/>
        <w:contextualSpacing/>
      </w:pPr>
      <w:r w:rsidRPr="0073063D">
        <w:t xml:space="preserve">Herein, Jaz-F1 overexpression and knockdown lines are used as acetylation mediators in </w:t>
      </w:r>
      <w:r w:rsidRPr="00471C68">
        <w:rPr>
          <w:i/>
          <w:iCs/>
        </w:rPr>
        <w:t>Drosophila</w:t>
      </w:r>
      <w:r w:rsidRPr="0073063D">
        <w:t xml:space="preserve">. Jaz-F1 is a member of the human chaperone complex H2A.Z. When Jaz-F1 is depleted, so is acetylation which is present at epigenetic levels affecting more than 1,000 regulatory sites, while the nucleosome position remains the same in its physiological chromatin structure. Its depletion causes H2A.Z deacetylation of Jaz-F1 </w:t>
      </w:r>
      <w:proofErr w:type="gramStart"/>
      <w:r w:rsidRPr="0073063D">
        <w:lastRenderedPageBreak/>
        <w:t>targeted</w:t>
      </w:r>
      <w:proofErr w:type="gramEnd"/>
      <w:r w:rsidRPr="0073063D">
        <w:t xml:space="preserve"> enhancer regions. In other words, H2A.Z acetylation orchestrates the expression of genes at regulatory regions. This leads to its presence at promoter regions and affects pathophysiological processes leading to human phenotype expression of diseases such as type 2 diabetes, prostate cancer and endometrial sarcomas.  </w:t>
      </w:r>
    </w:p>
    <w:p w14:paraId="25E5CFD6" w14:textId="77777777" w:rsidR="00090169" w:rsidRPr="0073063D" w:rsidRDefault="00090169" w:rsidP="00471C68">
      <w:pPr>
        <w:spacing w:after="120" w:line="480" w:lineRule="auto"/>
        <w:ind w:firstLine="720"/>
        <w:contextualSpacing/>
      </w:pPr>
      <w:r w:rsidRPr="0073063D">
        <w:t xml:space="preserve">Expression of a wide range of genes is found to be affected with depletion of Jaz-F1. This depletion did not lead to a depositional effect of H2A.Z but led to a strong decrease of H2A.Z acetylation. Due to these implications, methodologies have been evolving and improving towards efficiently and accurately isolating isoform histone variants.  </w:t>
      </w:r>
    </w:p>
    <w:p w14:paraId="4E6EC1D1" w14:textId="05508A87" w:rsidR="00090169" w:rsidRPr="00471C68" w:rsidRDefault="00090169" w:rsidP="00471C68">
      <w:pPr>
        <w:spacing w:after="120" w:line="480" w:lineRule="auto"/>
        <w:contextualSpacing/>
        <w:rPr>
          <w:i/>
          <w:iCs/>
        </w:rPr>
      </w:pPr>
      <w:r w:rsidRPr="00471C68">
        <w:rPr>
          <w:i/>
          <w:iCs/>
        </w:rPr>
        <w:t>Acetylation</w:t>
      </w:r>
    </w:p>
    <w:p w14:paraId="6354BE7E" w14:textId="6ED63263" w:rsidR="00090169" w:rsidRPr="0073063D" w:rsidRDefault="00090169" w:rsidP="00471C68">
      <w:pPr>
        <w:spacing w:after="120" w:line="480" w:lineRule="auto"/>
        <w:ind w:firstLine="720"/>
        <w:contextualSpacing/>
      </w:pPr>
      <w:r w:rsidRPr="0073063D">
        <w:t xml:space="preserve">An acetyltransferase is a lysine associated enzyme that remains on histone tails and contributes an acetyl group for gene activation and induces conformational changes in euchromatin. When acetylation of variants is reduced due to the role of Jaz-F1, acetylation of the canonical complex is depleted in the octamer. Deductively, the density of the structure decreases slightly. The slight decrease over time becomes exponential throughout cellular replication processes. Progression of these structural alterations lead in time to the observation of phenotype shifts. These phenotypes resulting in disease are directly associated with acetylation at regulatory regions which control gene expression and lead ultimately to dysfunction.  </w:t>
      </w:r>
    </w:p>
    <w:p w14:paraId="7BA9B0CA" w14:textId="020159CC" w:rsidR="00090169" w:rsidRPr="0073063D" w:rsidRDefault="00090169" w:rsidP="00471C68">
      <w:pPr>
        <w:spacing w:after="120" w:line="480" w:lineRule="auto"/>
        <w:ind w:firstLine="720"/>
        <w:contextualSpacing/>
      </w:pPr>
      <w:r w:rsidRPr="0073063D">
        <w:t xml:space="preserve">Acetylation as a conjugation reaction converts an ionized primary ammonium, where its amine is protonated at its physiological pH, to an amide which has a neutral charge and lessened water solubility. Acetylation deactivates metabolites further as opposed to the chemical conjugation that occurs in methylation and phosphorylation. It’s </w:t>
      </w:r>
      <w:r w:rsidRPr="0073063D">
        <w:lastRenderedPageBreak/>
        <w:t xml:space="preserve">a 2-step process lending acetyl-CoA to the active amino acid residue site on the tail of the histone; the acetyl group transfers to the substrate amino group, presumably granting the enzyme better control over catalyzation with a 2-step transfer. The aspects of pharmacokinetics can be considered for application of selective molecular interactions for more comprehensive studies (Silverman &amp; Holladay, 2014).  </w:t>
      </w:r>
    </w:p>
    <w:p w14:paraId="14BA9373" w14:textId="74DA9E8C" w:rsidR="00090169" w:rsidRPr="00471C68" w:rsidRDefault="00090169" w:rsidP="00471C68">
      <w:pPr>
        <w:spacing w:after="120" w:line="480" w:lineRule="auto"/>
        <w:contextualSpacing/>
        <w:rPr>
          <w:i/>
          <w:iCs/>
        </w:rPr>
      </w:pPr>
      <w:r w:rsidRPr="00471C68">
        <w:rPr>
          <w:i/>
          <w:iCs/>
        </w:rPr>
        <w:t>Experimental Considerations</w:t>
      </w:r>
    </w:p>
    <w:p w14:paraId="1A54D7B1" w14:textId="7D7D015D" w:rsidR="00090169" w:rsidRPr="0073063D" w:rsidRDefault="00471C68" w:rsidP="00471C68">
      <w:pPr>
        <w:spacing w:after="120" w:line="480" w:lineRule="auto"/>
        <w:ind w:firstLine="720"/>
        <w:contextualSpacing/>
      </w:pPr>
      <w:r w:rsidRPr="0073063D">
        <w:t>To</w:t>
      </w:r>
      <w:r w:rsidR="00090169" w:rsidRPr="0073063D">
        <w:t xml:space="preserve"> effectively analyze histone modifications and variants, separation on acidic polyacrylamide gels, specifically using an acidic urea gel, is used via the basis of electric charge differences. Once the Jaz-F1 knockdown and overexpression in wild type </w:t>
      </w:r>
      <w:r w:rsidR="00090169" w:rsidRPr="00471C68">
        <w:rPr>
          <w:i/>
          <w:iCs/>
        </w:rPr>
        <w:t>Drosophila</w:t>
      </w:r>
      <w:r w:rsidR="00090169" w:rsidRPr="0073063D">
        <w:t xml:space="preserve"> is collected, the histone protein samples can be extracted via NUT-PAGE (polyacrylamide gel electrophoresis) and primary/secondary antibody specific extraction (Hake et al., 2006). Histones are highly soluble in acids in which most other proteins and nucleic acids will be diminished. Using a yeast involved in the experiment with the collection of the </w:t>
      </w:r>
      <w:r w:rsidR="00090169" w:rsidRPr="00471C68">
        <w:rPr>
          <w:i/>
          <w:iCs/>
        </w:rPr>
        <w:t>Drosophila</w:t>
      </w:r>
      <w:r w:rsidR="00090169" w:rsidRPr="0073063D">
        <w:t xml:space="preserve"> embryos must be used with caution as the excess carbohydrates and phenol components will oxidize the sought after histone proteins when not eliminated from the samples (Murray, 1966).  </w:t>
      </w:r>
    </w:p>
    <w:p w14:paraId="43E356A6" w14:textId="77777777" w:rsidR="00090169" w:rsidRPr="0073063D" w:rsidRDefault="00090169" w:rsidP="00471C68">
      <w:pPr>
        <w:spacing w:after="120" w:line="480" w:lineRule="auto"/>
        <w:ind w:firstLine="720"/>
        <w:contextualSpacing/>
      </w:pPr>
      <w:r w:rsidRPr="0073063D">
        <w:t xml:space="preserve">For the fly growth collection of lines, it is noted that dsRNA has interference activities, while it can be made from cDNA or genomic data templates, it needs to correspond to exon regions on a dsRNA strand. As dsRNA will destroy mRNA Jaz-F1 targets. Fly growth from wild type fly lines and crossing is as follows: Gal4—&gt;UAS—&gt;overexpression of RNAi; Gal4—&gt;UAS—&gt; shRNA—&gt;RNAi </w:t>
      </w:r>
      <w:proofErr w:type="spellStart"/>
      <w:r w:rsidRPr="0073063D">
        <w:t>underexpression</w:t>
      </w:r>
      <w:proofErr w:type="spellEnd"/>
      <w:r w:rsidRPr="0073063D">
        <w:t xml:space="preserve">; heat shock promoters (HSP) and Gal4 are implemented as a control.  </w:t>
      </w:r>
    </w:p>
    <w:p w14:paraId="61425F63" w14:textId="77777777" w:rsidR="00090169" w:rsidRPr="0073063D" w:rsidRDefault="00090169" w:rsidP="00471C68">
      <w:pPr>
        <w:spacing w:after="120" w:line="480" w:lineRule="auto"/>
        <w:ind w:firstLine="720"/>
        <w:contextualSpacing/>
      </w:pPr>
      <w:r w:rsidRPr="0073063D">
        <w:lastRenderedPageBreak/>
        <w:t xml:space="preserve">dsRNA corresponds to UTR sequences and UTR sequence coding can mediate interference. If dsRNA is sufficiently similar in coding sequence to the second gene cross, cross interference risk is substantially increased.  </w:t>
      </w:r>
    </w:p>
    <w:p w14:paraId="4E1D9E63" w14:textId="049D28F9" w:rsidR="00090169" w:rsidRPr="0073063D" w:rsidRDefault="00090169" w:rsidP="00471C68">
      <w:pPr>
        <w:spacing w:after="120" w:line="480" w:lineRule="auto"/>
        <w:ind w:firstLine="720"/>
        <w:contextualSpacing/>
      </w:pPr>
      <w:r w:rsidRPr="0073063D">
        <w:t xml:space="preserve">There are three lines to be collected: EP; </w:t>
      </w:r>
      <w:proofErr w:type="spellStart"/>
      <w:r w:rsidRPr="0073063D">
        <w:t>TRiP</w:t>
      </w:r>
      <w:proofErr w:type="spellEnd"/>
      <w:r w:rsidRPr="0073063D">
        <w:t xml:space="preserve"> and HSP which will be regulated during fly embryo to growth to progeny embryos which will be collected for the histone complex analyses that are to be done during experimentation processes. One line with EP-Jaz-F1 under HSP and Gal4 promoter; upstream activator sequence (UAS) turns on with Gal4. Gal4 is very specific in </w:t>
      </w:r>
      <w:r w:rsidRPr="00471C68">
        <w:rPr>
          <w:i/>
          <w:iCs/>
        </w:rPr>
        <w:t>Drosophila</w:t>
      </w:r>
      <w:r w:rsidRPr="0073063D">
        <w:t xml:space="preserve"> and not normally present.  </w:t>
      </w:r>
    </w:p>
    <w:p w14:paraId="2651C38B" w14:textId="77777777" w:rsidR="00090169" w:rsidRPr="0073063D" w:rsidRDefault="00090169" w:rsidP="00471C68">
      <w:pPr>
        <w:spacing w:after="120" w:line="480" w:lineRule="auto"/>
        <w:ind w:firstLine="720"/>
        <w:contextualSpacing/>
      </w:pPr>
      <w:r w:rsidRPr="0073063D">
        <w:t xml:space="preserve">TRiP-Jaz-F1 where again the Gal4 is driven by HSP making Gal4 protein in an UAS which leads to RNAi of Jaz-F1. With the </w:t>
      </w:r>
      <w:proofErr w:type="spellStart"/>
      <w:r w:rsidRPr="0073063D">
        <w:t>dsRNAi</w:t>
      </w:r>
      <w:proofErr w:type="spellEnd"/>
      <w:r w:rsidRPr="0073063D">
        <w:t xml:space="preserve"> and mRNA-Jaz-F1, the endogenous RNAi is destroyed in the </w:t>
      </w:r>
      <w:proofErr w:type="spellStart"/>
      <w:r w:rsidRPr="0073063D">
        <w:t>TRiP</w:t>
      </w:r>
      <w:proofErr w:type="spellEnd"/>
      <w:r w:rsidRPr="0073063D">
        <w:t xml:space="preserve"> line and eliminates JAZ-F1 protein.  </w:t>
      </w:r>
    </w:p>
    <w:p w14:paraId="62CC6E85" w14:textId="77777777" w:rsidR="00090169" w:rsidRPr="0073063D" w:rsidRDefault="00090169" w:rsidP="00471C68">
      <w:pPr>
        <w:spacing w:after="120" w:line="480" w:lineRule="auto"/>
        <w:ind w:firstLine="720"/>
        <w:contextualSpacing/>
      </w:pPr>
      <w:r w:rsidRPr="0073063D">
        <w:t xml:space="preserve">During fly growth, keep all lines separated. Keep females as they pass the lines to progeny and leave minimal numbers of males to maintain lines and control population. Regarding NUT-PAGE, a neutral pH needs to be maintained as the extraction for analysis is charge dependent </w:t>
      </w:r>
      <w:proofErr w:type="gramStart"/>
      <w:r w:rsidRPr="0073063D">
        <w:t>for</w:t>
      </w:r>
      <w:proofErr w:type="gramEnd"/>
      <w:r w:rsidRPr="0073063D">
        <w:t xml:space="preserve"> histone modifications to be differentiated throughout the processes. The acid urea (AU) gel electrophoresis allows for the acetylated isoforms to be separated by individual charges and then implementing Triton which will bind to the hydrophobic regions of the histone proteins further separating the reduced positive charge of Lys in acetylated modifications when denatured by highly concentrated urea (Cheung et al., 2000).  </w:t>
      </w:r>
    </w:p>
    <w:p w14:paraId="6985A69C" w14:textId="77777777" w:rsidR="00090169" w:rsidRPr="0073063D" w:rsidRDefault="00090169" w:rsidP="00471C68">
      <w:pPr>
        <w:spacing w:after="120" w:line="480" w:lineRule="auto"/>
        <w:ind w:firstLine="720"/>
        <w:contextualSpacing/>
      </w:pPr>
      <w:r w:rsidRPr="0073063D">
        <w:t xml:space="preserve">SDS-PAGE is based on molecular weight, not charge, and is solely not effective at isolating histones since particle weight can be the same for different components, </w:t>
      </w:r>
      <w:r w:rsidRPr="0073063D">
        <w:lastRenderedPageBreak/>
        <w:t xml:space="preserve">separation for histones will not occur accurately. It is run alongside NUT-PAGE as an electrophoresis control in this experiment.  </w:t>
      </w:r>
    </w:p>
    <w:p w14:paraId="3A037D00" w14:textId="2FE0239C" w:rsidR="00090169" w:rsidRPr="0073063D" w:rsidRDefault="00090169" w:rsidP="00471C68">
      <w:pPr>
        <w:spacing w:after="120" w:line="480" w:lineRule="auto"/>
        <w:contextualSpacing/>
        <w:rPr>
          <w:b/>
          <w:bCs/>
        </w:rPr>
      </w:pPr>
      <w:r w:rsidRPr="0073063D">
        <w:rPr>
          <w:b/>
          <w:bCs/>
        </w:rPr>
        <w:t>Methods</w:t>
      </w:r>
    </w:p>
    <w:p w14:paraId="6FFA52FD" w14:textId="694499AC" w:rsidR="00090169" w:rsidRPr="0073063D" w:rsidRDefault="00090169" w:rsidP="00471C68">
      <w:pPr>
        <w:spacing w:after="120" w:line="480" w:lineRule="auto"/>
        <w:contextualSpacing/>
        <w:rPr>
          <w:i/>
          <w:iCs/>
        </w:rPr>
      </w:pPr>
      <w:r w:rsidRPr="0073063D">
        <w:rPr>
          <w:i/>
          <w:iCs/>
        </w:rPr>
        <w:t>Drosophila melanogaster Breeding to Obtain Desired Genetic Lineage</w:t>
      </w:r>
    </w:p>
    <w:p w14:paraId="731E712E" w14:textId="44C30CF8" w:rsidR="00090169" w:rsidRPr="0073063D" w:rsidRDefault="00090169" w:rsidP="00471C68">
      <w:pPr>
        <w:spacing w:after="120" w:line="480" w:lineRule="auto"/>
        <w:ind w:firstLine="720"/>
        <w:contextualSpacing/>
      </w:pPr>
      <w:r w:rsidRPr="0073063D">
        <w:t xml:space="preserve">Embryos were harvested via breeding and collection. They will need to be crosses of HSP and </w:t>
      </w:r>
      <w:proofErr w:type="spellStart"/>
      <w:r w:rsidRPr="0073063D">
        <w:t>TRiP</w:t>
      </w:r>
      <w:proofErr w:type="spellEnd"/>
      <w:r w:rsidRPr="0073063D">
        <w:t xml:space="preserve"> or EP from virgin females which are placed into an isolated vessel.  </w:t>
      </w:r>
    </w:p>
    <w:p w14:paraId="0D7C1374" w14:textId="3487C778" w:rsidR="00090169" w:rsidRPr="0073063D" w:rsidRDefault="00090169" w:rsidP="00471C68">
      <w:pPr>
        <w:spacing w:after="120" w:line="480" w:lineRule="auto"/>
        <w:ind w:firstLine="720"/>
        <w:contextualSpacing/>
      </w:pPr>
      <w:r w:rsidRPr="0073063D">
        <w:t xml:space="preserve">Isolation by sex is done by identifying males which have a brown thoracic end, females have </w:t>
      </w:r>
      <w:proofErr w:type="spellStart"/>
      <w:r w:rsidRPr="0073063D">
        <w:t>ovipoters</w:t>
      </w:r>
      <w:proofErr w:type="spellEnd"/>
      <w:r w:rsidRPr="0073063D">
        <w:t xml:space="preserve"> and clearly banded thorax absent of brown coloring, while lighter in overall shade. Virgin female </w:t>
      </w:r>
      <w:r w:rsidRPr="00471C68">
        <w:rPr>
          <w:i/>
          <w:iCs/>
        </w:rPr>
        <w:t>Drosophila</w:t>
      </w:r>
      <w:r w:rsidRPr="0073063D">
        <w:t xml:space="preserve"> are characterized by a distinct creamy white appearance with purplish curled or wrinkled wings (Pulver, 2012). Gas </w:t>
      </w:r>
      <w:r w:rsidRPr="00471C68">
        <w:rPr>
          <w:i/>
          <w:iCs/>
        </w:rPr>
        <w:t>Drosophila</w:t>
      </w:r>
      <w:r w:rsidRPr="0073063D">
        <w:t xml:space="preserve"> with CO2 either within the bottle, or quickly transferred into a corresponding collection vessel, placed on a porous plate under a microscope with connection tubes for gas dispersion to ensure </w:t>
      </w:r>
      <w:r w:rsidRPr="0073063D">
        <w:rPr>
          <w:i/>
          <w:iCs/>
        </w:rPr>
        <w:t>Drosophila</w:t>
      </w:r>
      <w:r w:rsidRPr="0073063D">
        <w:t xml:space="preserve"> </w:t>
      </w:r>
      <w:r w:rsidR="0073063D" w:rsidRPr="0073063D">
        <w:t>is</w:t>
      </w:r>
      <w:r w:rsidRPr="0073063D">
        <w:t xml:space="preserve"> immobile. Using soft, small bristle brushes, delicately separate flies into respective piles based on male, female or virgin. Repeat the collections every 12 hours for a period of 60 days.  </w:t>
      </w:r>
    </w:p>
    <w:p w14:paraId="489996F8" w14:textId="23615253" w:rsidR="00090169" w:rsidRPr="0073063D" w:rsidRDefault="00090169" w:rsidP="00471C68">
      <w:pPr>
        <w:spacing w:after="120" w:line="480" w:lineRule="auto"/>
        <w:contextualSpacing/>
        <w:rPr>
          <w:i/>
          <w:iCs/>
        </w:rPr>
      </w:pPr>
      <w:r w:rsidRPr="0073063D">
        <w:rPr>
          <w:i/>
          <w:iCs/>
        </w:rPr>
        <w:t>Drosophila Virgin Female Embryo Collection</w:t>
      </w:r>
    </w:p>
    <w:p w14:paraId="366A87C6" w14:textId="7A3F247D" w:rsidR="00090169" w:rsidRPr="0073063D" w:rsidRDefault="00090169" w:rsidP="00471C68">
      <w:pPr>
        <w:spacing w:after="120" w:line="480" w:lineRule="auto"/>
        <w:ind w:firstLine="720"/>
        <w:contextualSpacing/>
      </w:pPr>
      <w:r w:rsidRPr="0073063D">
        <w:t>Prepare agar plates by combining 18g agar, 600 mL of water, 200 mL of apple juice, 20g of sucrose in a large flask and incorporate. Autoclave the mixture for 60 minutes, mix again to accelerate cooling to handleable temperature. Pour agar layer into the dish and refrigerate until solid. This agar small petri dish (</w:t>
      </w:r>
      <w:proofErr w:type="spellStart"/>
      <w:r w:rsidRPr="0073063D">
        <w:t>Fisherbrand</w:t>
      </w:r>
      <w:proofErr w:type="spellEnd"/>
      <w:r w:rsidRPr="0073063D">
        <w:t xml:space="preserve"> 60mmx15mm polystyrene-stackable) will be placed into the urine collection cup lid. Manually poke small holes into urine collection cups with a removable lid diameter of no more than 5cm. Invert the urine </w:t>
      </w:r>
      <w:r w:rsidRPr="0073063D">
        <w:lastRenderedPageBreak/>
        <w:t xml:space="preserve">cup after placing </w:t>
      </w:r>
      <w:proofErr w:type="gramStart"/>
      <w:r w:rsidRPr="0073063D">
        <w:t>yeast based</w:t>
      </w:r>
      <w:proofErr w:type="gramEnd"/>
      <w:r w:rsidRPr="0073063D">
        <w:t xml:space="preserve"> food smear on the agar. substrate petri dish with agar exposed to the open end of the cup for </w:t>
      </w:r>
      <w:r w:rsidRPr="00471C68">
        <w:rPr>
          <w:i/>
          <w:iCs/>
        </w:rPr>
        <w:t>Drosophila</w:t>
      </w:r>
      <w:r w:rsidRPr="0073063D">
        <w:t xml:space="preserve"> virgin females to feed and lay unadulterated embryos.  </w:t>
      </w:r>
    </w:p>
    <w:p w14:paraId="60E0704A" w14:textId="222419E2" w:rsidR="00090169" w:rsidRPr="0073063D" w:rsidRDefault="00090169" w:rsidP="00471C68">
      <w:pPr>
        <w:spacing w:after="120" w:line="480" w:lineRule="auto"/>
        <w:ind w:firstLine="720"/>
        <w:contextualSpacing/>
      </w:pPr>
      <w:r w:rsidRPr="0073063D">
        <w:t xml:space="preserve">Transfer virgin lines to correspondingly labeled collection cups after immobilizing with CO2 gas. Collections begin and continue every 12 hours until ample collections are made as needed for experiment. Immobilize </w:t>
      </w:r>
      <w:r w:rsidRPr="00471C68">
        <w:rPr>
          <w:i/>
          <w:iCs/>
        </w:rPr>
        <w:t>Drosophila</w:t>
      </w:r>
      <w:r w:rsidRPr="0073063D">
        <w:t xml:space="preserve"> via gas through one of the holes made on the side of the cup, remove lid, remove agar plate, replace with fresh yeast smeared agar plate and close lid for next sample time rotation to be produced. Pipette distilled water to moisten embryos on the plates (~5ml) until the embryos were able to be removed via a soft bristled broad but thin brush. Using prelabeled, by corresponding line, microfuge tubes, scrape the embryos into the container and repeat until most embryos are transferred into the microfuge tubes. Pipette additional distilled water into the tubes and pipette the excess </w:t>
      </w:r>
      <w:proofErr w:type="gramStart"/>
      <w:r w:rsidRPr="0073063D">
        <w:t>off of</w:t>
      </w:r>
      <w:proofErr w:type="gramEnd"/>
      <w:r w:rsidRPr="0073063D">
        <w:t xml:space="preserve"> the top after the embryos appear as sediment at the conical base after a short period of time. Repeat this process at least three times per microfuge tube. The embryos must be thoroughly “washed” of all yeast and agar that is present.  </w:t>
      </w:r>
    </w:p>
    <w:p w14:paraId="564E0941" w14:textId="027A3473" w:rsidR="00090169" w:rsidRPr="0073063D" w:rsidRDefault="00090169" w:rsidP="00471C68">
      <w:pPr>
        <w:spacing w:after="120" w:line="480" w:lineRule="auto"/>
        <w:ind w:firstLine="720"/>
        <w:contextualSpacing/>
      </w:pPr>
      <w:r w:rsidRPr="0073063D">
        <w:t xml:space="preserve">Place microfuge tubes into a holding plate with </w:t>
      </w:r>
      <w:proofErr w:type="spellStart"/>
      <w:r w:rsidRPr="0073063D">
        <w:t>styrofoam</w:t>
      </w:r>
      <w:proofErr w:type="spellEnd"/>
      <w:r w:rsidRPr="0073063D">
        <w:t xml:space="preserve"> wrapped on sides for floatation and put in a heat bath for 60 minutes at 37 degrees Celsius; remove and set aside at room temperature for 120 minutes. Place samples in a -80 degrees Celsius deep freezer. They can remain in this environment successfully for an indefinite </w:t>
      </w:r>
      <w:proofErr w:type="gramStart"/>
      <w:r w:rsidRPr="0073063D">
        <w:t>period of time</w:t>
      </w:r>
      <w:proofErr w:type="gramEnd"/>
      <w:r w:rsidRPr="0073063D">
        <w:t xml:space="preserve">.  </w:t>
      </w:r>
    </w:p>
    <w:p w14:paraId="63FD5BEE" w14:textId="78B99446" w:rsidR="00090169" w:rsidRPr="0073063D" w:rsidRDefault="00090169" w:rsidP="00471C68">
      <w:pPr>
        <w:spacing w:after="120" w:line="480" w:lineRule="auto"/>
        <w:contextualSpacing/>
        <w:rPr>
          <w:i/>
          <w:iCs/>
        </w:rPr>
      </w:pPr>
      <w:r w:rsidRPr="0073063D">
        <w:rPr>
          <w:i/>
          <w:iCs/>
        </w:rPr>
        <w:t>Preparations Continued</w:t>
      </w:r>
    </w:p>
    <w:p w14:paraId="26D28FF3" w14:textId="6D4CDABC" w:rsidR="00090169" w:rsidRPr="0073063D" w:rsidRDefault="00090169" w:rsidP="00471C68">
      <w:pPr>
        <w:spacing w:after="120" w:line="480" w:lineRule="auto"/>
        <w:contextualSpacing/>
      </w:pPr>
      <w:r w:rsidRPr="0073063D">
        <w:t xml:space="preserve">Grind solid portions of samples using a miniature pestle that fits into the conical part of the microfuge tube after samples thaw from the deep freezer to incorporate into liquid.  </w:t>
      </w:r>
    </w:p>
    <w:p w14:paraId="6B421396" w14:textId="4531672C" w:rsidR="00090169" w:rsidRPr="0073063D" w:rsidRDefault="00090169" w:rsidP="00471C68">
      <w:pPr>
        <w:spacing w:after="120" w:line="480" w:lineRule="auto"/>
        <w:contextualSpacing/>
      </w:pPr>
      <w:r w:rsidRPr="0073063D">
        <w:lastRenderedPageBreak/>
        <w:t>Composition of NUT PAGE gels: Resolving Gel 6 mL (8.2 cm × 9.7 cm × 0.075 cm), Urea 2.16 g 6 M, Acrylamide, 60%, (60:0.4) 1.5 mL (15%)/1 mL (10%) 15%/10%, *MOPS (3(N-morpholino)</w:t>
      </w:r>
      <w:proofErr w:type="spellStart"/>
      <w:r w:rsidRPr="0073063D">
        <w:t>propanesulfonic</w:t>
      </w:r>
      <w:proofErr w:type="spellEnd"/>
      <w:r w:rsidRPr="0073063D">
        <w:t xml:space="preserve"> acid), 0.5 M, pH 7.0 1.2 mL 100 mM, 10% (v/v) Triton X-100 0.222 mL 0.37% (v/v), ddH2O 1.34 mL (15%)/1.84 mL (10%) N/A, APS, 10% (w/v) 16 µL 0.027% (w/v), TEMED 8 µL 0.13% (v/v); Stacking Gel 2 mL (8.2 cm × 9.7 cm × 0.075 cm), Urea 0.72g 6 M, Acrylamide, 60% (60:0.4) 0.3 mL 9%, *MOPS, 0.5 M, pH 8.0 0.4 mL 100 mM, 10% (v/v) Triton X-100 0.074 mL 0.37% (v/v), ddH2O 0.646 mL N/A, APS, 10% (w/v) 12 µL, 0.06% (w/v), TEMED 6 µL 0.3% (v/v)  </w:t>
      </w:r>
    </w:p>
    <w:p w14:paraId="650952B0" w14:textId="7BC5C614" w:rsidR="00090169" w:rsidRPr="0073063D" w:rsidRDefault="00090169" w:rsidP="00471C68">
      <w:pPr>
        <w:spacing w:after="120" w:line="480" w:lineRule="auto"/>
        <w:contextualSpacing/>
      </w:pPr>
      <w:r w:rsidRPr="0073063D">
        <w:t xml:space="preserve">*Phosphate buffer was substituted for MOPS due to </w:t>
      </w:r>
      <w:r w:rsidR="0073063D" w:rsidRPr="0073063D">
        <w:t>availability;</w:t>
      </w:r>
      <w:r w:rsidRPr="0073063D">
        <w:t xml:space="preserve"> this is not recommended (</w:t>
      </w:r>
      <w:r w:rsidR="0073063D" w:rsidRPr="0073063D">
        <w:rPr>
          <w:i/>
          <w:iCs/>
        </w:rPr>
        <w:t>Performed during global pandemic supply shortages</w:t>
      </w:r>
      <w:r w:rsidRPr="0073063D">
        <w:t xml:space="preserve">). </w:t>
      </w:r>
    </w:p>
    <w:p w14:paraId="0D5E0615" w14:textId="77777777" w:rsidR="0073063D" w:rsidRPr="0073063D" w:rsidRDefault="00090169" w:rsidP="00471C68">
      <w:pPr>
        <w:spacing w:after="120" w:line="480" w:lineRule="auto"/>
        <w:contextualSpacing/>
      </w:pPr>
      <w:r w:rsidRPr="0073063D">
        <w:t xml:space="preserve">Urea-based blue (bromophenol) Dye: 100nM </w:t>
      </w:r>
      <w:proofErr w:type="gramStart"/>
      <w:r w:rsidRPr="0073063D">
        <w:t>Tris</w:t>
      </w:r>
      <w:proofErr w:type="gramEnd"/>
      <w:r w:rsidRPr="0073063D">
        <w:t xml:space="preserve"> buffer, 10%B-mercaptoethanol, 4%SDS, .1% bromophenol blue, and 20% glycerol.  </w:t>
      </w:r>
    </w:p>
    <w:p w14:paraId="48E8EB01" w14:textId="6818756F" w:rsidR="00090169" w:rsidRPr="0073063D" w:rsidRDefault="0073063D" w:rsidP="00471C68">
      <w:pPr>
        <w:spacing w:after="120" w:line="480" w:lineRule="auto"/>
        <w:contextualSpacing/>
      </w:pPr>
      <w:r w:rsidRPr="0073063D">
        <w:t>R</w:t>
      </w:r>
      <w:r w:rsidR="00090169" w:rsidRPr="0073063D">
        <w:t>unning Buffer: 22mM Phosphate buffer 110 mL at 0.1M, 100</w:t>
      </w:r>
      <w:proofErr w:type="gramStart"/>
      <w:r w:rsidR="00090169" w:rsidRPr="0073063D">
        <w:t>nM</w:t>
      </w:r>
      <w:proofErr w:type="gramEnd"/>
      <w:r w:rsidR="00090169" w:rsidRPr="0073063D">
        <w:t xml:space="preserve"> imidazole 50 mL 1.0M Western blot solution: phosphate buffer 22mM 220mL, Imidazole 100mM 100 mL, 480 mL distilled water, 200mL methanol.  </w:t>
      </w:r>
    </w:p>
    <w:p w14:paraId="655B4900" w14:textId="6070608A" w:rsidR="00090169" w:rsidRPr="0073063D" w:rsidRDefault="00090169" w:rsidP="00471C68">
      <w:pPr>
        <w:spacing w:after="120" w:line="480" w:lineRule="auto"/>
        <w:contextualSpacing/>
      </w:pPr>
      <w:r w:rsidRPr="0073063D">
        <w:t xml:space="preserve">SDS: 12.5% Running Gel: total=15mL, Acryl/Bis (37:1) 30% at 6.2 mL, distilled water at 1.25 mL, 10% APS 75μL, TEMED at 75μL. SDS 5% Stacking Gel, total=7.5mL: 25 Acryl/Bis (37:1) 30%, 4 mL distilled water, 10%APS at 37μL (x5=185μL), 7.5μL TEMED. NUT-PAGE Dye: 100nM </w:t>
      </w:r>
      <w:proofErr w:type="gramStart"/>
      <w:r w:rsidRPr="0073063D">
        <w:t>Tris</w:t>
      </w:r>
      <w:proofErr w:type="gramEnd"/>
      <w:r w:rsidRPr="0073063D">
        <w:t xml:space="preserve"> buffer, 10%B-mercaptoethanol, 4%SDS, .1% bromophenol blue, and 20% glycerol (blue) SDS-PAGE Dye: 6x SDS gel dye (purple). Running Buffer: 10x Tris/Glycine 75 mL, distilled water 650 </w:t>
      </w:r>
      <w:proofErr w:type="spellStart"/>
      <w:r w:rsidRPr="0073063D">
        <w:t>mL.</w:t>
      </w:r>
      <w:proofErr w:type="spellEnd"/>
      <w:r w:rsidRPr="0073063D">
        <w:t xml:space="preserve">  </w:t>
      </w:r>
    </w:p>
    <w:p w14:paraId="4C64D8D0" w14:textId="52346666" w:rsidR="00090169" w:rsidRPr="0073063D" w:rsidRDefault="00090169" w:rsidP="00471C68">
      <w:pPr>
        <w:spacing w:after="120" w:line="480" w:lineRule="auto"/>
        <w:contextualSpacing/>
      </w:pPr>
      <w:r w:rsidRPr="0073063D">
        <w:lastRenderedPageBreak/>
        <w:t xml:space="preserve">Stacking: 12.5% </w:t>
      </w:r>
      <w:proofErr w:type="spellStart"/>
      <w:r w:rsidRPr="0073063D">
        <w:t>Temed</w:t>
      </w:r>
      <w:proofErr w:type="spellEnd"/>
      <w:r w:rsidRPr="0073063D">
        <w:t xml:space="preserve"> 24μL, APS: 240μL, 5% </w:t>
      </w:r>
      <w:proofErr w:type="spellStart"/>
      <w:r w:rsidRPr="0073063D">
        <w:t>Temed</w:t>
      </w:r>
      <w:proofErr w:type="spellEnd"/>
      <w:r w:rsidRPr="0073063D">
        <w:t xml:space="preserve"> 7.5μL, APS 185μL. Western blot solution: 100 mL10x Tris/Glycine, 200 mL methanol, 700 mL distilled water. TBST: used to wash centrifuged </w:t>
      </w:r>
      <w:proofErr w:type="gramStart"/>
      <w:r w:rsidRPr="0073063D">
        <w:t>product</w:t>
      </w:r>
      <w:proofErr w:type="gramEnd"/>
      <w:r w:rsidRPr="0073063D">
        <w:t xml:space="preserve">; 150mM </w:t>
      </w:r>
      <w:proofErr w:type="spellStart"/>
      <w:r w:rsidRPr="0073063D">
        <w:t>NaCL</w:t>
      </w:r>
      <w:proofErr w:type="spellEnd"/>
      <w:r w:rsidRPr="0073063D">
        <w:t xml:space="preserve">; 27mM KCl; 250mM Tris at pH7.4; 0.05% Tween-20 </w:t>
      </w:r>
      <w:proofErr w:type="spellStart"/>
      <w:proofErr w:type="gramStart"/>
      <w:r w:rsidRPr="0073063D">
        <w:t>atleast</w:t>
      </w:r>
      <w:proofErr w:type="spellEnd"/>
      <w:proofErr w:type="gramEnd"/>
      <w:r w:rsidRPr="0073063D">
        <w:t xml:space="preserve"> 1L (Schecter et al., 2007).  </w:t>
      </w:r>
    </w:p>
    <w:p w14:paraId="1B6C13D9" w14:textId="56464275" w:rsidR="00090169" w:rsidRPr="0073063D" w:rsidRDefault="00090169" w:rsidP="00471C68">
      <w:pPr>
        <w:spacing w:after="120" w:line="480" w:lineRule="auto"/>
        <w:contextualSpacing/>
        <w:rPr>
          <w:i/>
          <w:iCs/>
        </w:rPr>
      </w:pPr>
      <w:r w:rsidRPr="0073063D">
        <w:rPr>
          <w:i/>
          <w:iCs/>
        </w:rPr>
        <w:t>Electrophoresis, Western Blot, Imaging</w:t>
      </w:r>
    </w:p>
    <w:p w14:paraId="32A9097D" w14:textId="025633D9" w:rsidR="00090169" w:rsidRPr="0073063D" w:rsidRDefault="00090169" w:rsidP="00471C68">
      <w:pPr>
        <w:spacing w:after="120" w:line="480" w:lineRule="auto"/>
        <w:ind w:firstLine="720"/>
        <w:contextualSpacing/>
      </w:pPr>
      <w:r w:rsidRPr="0073063D">
        <w:t xml:space="preserve">Heat protein samples for activation at 100 degrees Celsius for 2 minutes using Bio-Rad Thermal Cycler.  </w:t>
      </w:r>
    </w:p>
    <w:p w14:paraId="6E24A544" w14:textId="5C03D996" w:rsidR="00090169" w:rsidRPr="0073063D" w:rsidRDefault="00090169" w:rsidP="00471C68">
      <w:pPr>
        <w:spacing w:after="120" w:line="480" w:lineRule="auto"/>
        <w:ind w:firstLine="720"/>
        <w:contextualSpacing/>
      </w:pPr>
      <w:r w:rsidRPr="0073063D">
        <w:t>After preparations are complete, set gels to polymerize, by adding 4.8mL of phosphate buffer (0.1M pH</w:t>
      </w:r>
      <w:r w:rsidR="00471C68">
        <w:t xml:space="preserve"> </w:t>
      </w:r>
      <w:r w:rsidRPr="0073063D">
        <w:t xml:space="preserve">7.6) to resolving gel mixture; add TEMED 32 µL to stacking gel mixture; pipette into gel plates </w:t>
      </w:r>
      <w:proofErr w:type="spellStart"/>
      <w:r w:rsidRPr="0073063D">
        <w:t>the</w:t>
      </w:r>
      <w:proofErr w:type="spellEnd"/>
      <w:r w:rsidRPr="0073063D">
        <w:t xml:space="preserve"> are setup in apparatus for electrophoresis until 1cm from top; Pipette resolving gel mixture into top 1cm; add 400mL EtOH to resolving gel layer to smooth and remove bubbles; after 45m in polymerization should occur; remove EtOH layer; proceed to add stacking gel; add loading dye to samples; blue to NUT-PAGE; purple to SDS-PAGE; sample and dye volume need to be proportional; then they are ready for Western blot transfer using electrophoresis. Follow the manufacturer's instructions to run the machines. Wells are notated by column and divided by solids and non-solids and pipette 10µL of sample into corresponding well to run for 90min; refill buffer reservoirs as needed to compensate for </w:t>
      </w:r>
      <w:proofErr w:type="gramStart"/>
      <w:r w:rsidRPr="0073063D">
        <w:t>leaking;</w:t>
      </w:r>
      <w:proofErr w:type="gramEnd"/>
      <w:r w:rsidRPr="0073063D">
        <w:t xml:space="preserve">  </w:t>
      </w:r>
    </w:p>
    <w:p w14:paraId="04EB6EB5" w14:textId="0640E322" w:rsidR="00090169" w:rsidRPr="0073063D" w:rsidRDefault="00090169" w:rsidP="00471C68">
      <w:pPr>
        <w:spacing w:after="120" w:line="480" w:lineRule="auto"/>
        <w:ind w:firstLine="720"/>
        <w:contextualSpacing/>
      </w:pPr>
      <w:r w:rsidRPr="0073063D">
        <w:t xml:space="preserve">Before beginning, ensure that electric leads are switched </w:t>
      </w:r>
      <w:proofErr w:type="gramStart"/>
      <w:r w:rsidRPr="0073063D">
        <w:t>for</w:t>
      </w:r>
      <w:proofErr w:type="gramEnd"/>
      <w:r w:rsidRPr="0073063D">
        <w:t xml:space="preserve"> NUT-PAGE, leads </w:t>
      </w:r>
      <w:proofErr w:type="gramStart"/>
      <w:r w:rsidRPr="0073063D">
        <w:t>for</w:t>
      </w:r>
      <w:proofErr w:type="gramEnd"/>
      <w:r w:rsidRPr="0073063D">
        <w:t xml:space="preserve"> SDS-PAGE are run traditionally.  </w:t>
      </w:r>
    </w:p>
    <w:p w14:paraId="21D783A2" w14:textId="2CF320DF" w:rsidR="00090169" w:rsidRPr="0073063D" w:rsidRDefault="00090169" w:rsidP="00471C68">
      <w:pPr>
        <w:spacing w:after="120" w:line="480" w:lineRule="auto"/>
        <w:ind w:firstLine="720"/>
        <w:contextualSpacing/>
      </w:pPr>
      <w:r w:rsidRPr="0073063D">
        <w:t xml:space="preserve">Refer to Precision Plus Protein Dual Color Standards afterwards for histone identification. Histones will be at ~15 on the protein ladder.  </w:t>
      </w:r>
    </w:p>
    <w:p w14:paraId="6137A22D" w14:textId="42D2D2F0" w:rsidR="00090169" w:rsidRPr="0073063D" w:rsidRDefault="00090169" w:rsidP="00471C68">
      <w:pPr>
        <w:spacing w:after="120" w:line="480" w:lineRule="auto"/>
        <w:ind w:firstLine="720"/>
        <w:contextualSpacing/>
      </w:pPr>
      <w:r w:rsidRPr="0073063D">
        <w:lastRenderedPageBreak/>
        <w:t xml:space="preserve">Fill 2, 3 gallon rectangular bins with SDS and NUT-PAGE solutions (separately) 3 inches from bottom; soak nitrocellulose papers in bins with 2 each Watman paper and 2 each fiber pads; remove gel plates from electrophoresis when process is completed and carefully remove gel from plates in corresponding bins, then sandwich the gel between the paper for transfer 5% milk and TBST(1X Tris-Buffered Saline, 0.1% Tween- 20 Detergent).  </w:t>
      </w:r>
    </w:p>
    <w:p w14:paraId="2E5579C1" w14:textId="77777777" w:rsidR="00090169" w:rsidRPr="0073063D" w:rsidRDefault="00090169" w:rsidP="00471C68">
      <w:pPr>
        <w:spacing w:after="120" w:line="480" w:lineRule="auto"/>
        <w:ind w:firstLine="720"/>
        <w:contextualSpacing/>
      </w:pPr>
      <w:r w:rsidRPr="0073063D">
        <w:t xml:space="preserve">Place into separate </w:t>
      </w:r>
      <w:proofErr w:type="spellStart"/>
      <w:r w:rsidRPr="0073063D">
        <w:t>ziploc</w:t>
      </w:r>
      <w:proofErr w:type="spellEnd"/>
      <w:r w:rsidRPr="0073063D">
        <w:t xml:space="preserve"> bags; pipette 5µL mouse host IgG2a isotype histone H2Av antibody (monoclonal) purchased from Active Motif; place on stir plate for 12 hours. Lastly, prepare the membrane with the goat horseradish antibody, Goat anti-Mouse IgG (H+L) Secondary Antibody, HRP Thermo-Scientific brand: Invitrogen; wash 3 times in TBST solution for 10min intervals; add 5% milk solution and 2mL of chemiluminescence dye; wash at 10min intervals 3 times; the goat antibody will tag/recognize the protein blot and fluorescence; use a Bio-Rad </w:t>
      </w:r>
      <w:proofErr w:type="spellStart"/>
      <w:r w:rsidRPr="0073063D">
        <w:t>ChemiDoc</w:t>
      </w:r>
      <w:proofErr w:type="spellEnd"/>
      <w:r w:rsidRPr="0073063D">
        <w:t xml:space="preserve"> or similar imaging system to retrieve results of histone presence for both test sheets (Schecter et al., 2007).  </w:t>
      </w:r>
    </w:p>
    <w:p w14:paraId="29B99B05" w14:textId="321DF87E" w:rsidR="00090169" w:rsidRPr="0073063D" w:rsidRDefault="00090169" w:rsidP="00471C68">
      <w:pPr>
        <w:spacing w:after="120" w:line="480" w:lineRule="auto"/>
        <w:contextualSpacing/>
        <w:rPr>
          <w:b/>
          <w:bCs/>
        </w:rPr>
      </w:pPr>
      <w:r w:rsidRPr="0073063D">
        <w:rPr>
          <w:b/>
          <w:bCs/>
        </w:rPr>
        <w:t>Results</w:t>
      </w:r>
    </w:p>
    <w:p w14:paraId="5F4D30DD" w14:textId="18978A5B" w:rsidR="00090169" w:rsidRPr="0073063D" w:rsidRDefault="00090169" w:rsidP="00471C68">
      <w:pPr>
        <w:spacing w:after="120" w:line="480" w:lineRule="auto"/>
        <w:ind w:firstLine="720"/>
        <w:contextualSpacing/>
      </w:pPr>
      <w:r w:rsidRPr="0073063D">
        <w:t xml:space="preserve">No conclusive data was collected. The only image that was positive for histone bands was the control sample HSP in solid form. This was transferred successfully during this experiment.  </w:t>
      </w:r>
    </w:p>
    <w:p w14:paraId="38419574" w14:textId="145FA6EB" w:rsidR="0073063D" w:rsidRPr="0073063D" w:rsidRDefault="0073063D" w:rsidP="00471C68">
      <w:pPr>
        <w:spacing w:after="120" w:line="480" w:lineRule="auto"/>
        <w:contextualSpacing/>
        <w:rPr>
          <w:i/>
          <w:iCs/>
        </w:rPr>
      </w:pPr>
      <w:r w:rsidRPr="0073063D">
        <w:rPr>
          <w:noProof/>
        </w:rPr>
        <w:lastRenderedPageBreak/>
        <w:drawing>
          <wp:inline distT="0" distB="0" distL="0" distR="0" wp14:anchorId="14CF4048" wp14:editId="414C161C">
            <wp:extent cx="3533775" cy="2428875"/>
            <wp:effectExtent l="0" t="0" r="9525" b="9525"/>
            <wp:docPr id="559079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3775" cy="2428875"/>
                    </a:xfrm>
                    <a:prstGeom prst="rect">
                      <a:avLst/>
                    </a:prstGeom>
                    <a:noFill/>
                    <a:ln>
                      <a:noFill/>
                    </a:ln>
                  </pic:spPr>
                </pic:pic>
              </a:graphicData>
            </a:graphic>
          </wp:inline>
        </w:drawing>
      </w:r>
      <w:r w:rsidRPr="0073063D">
        <w:t xml:space="preserve">Fig. 1 </w:t>
      </w:r>
      <w:r w:rsidRPr="0073063D">
        <w:rPr>
          <w:i/>
          <w:iCs/>
          <w:noProof/>
        </w:rPr>
        <w:drawing>
          <wp:inline distT="0" distB="0" distL="0" distR="0" wp14:anchorId="0A6A1A2A" wp14:editId="434BA3F6">
            <wp:extent cx="3532803" cy="2219325"/>
            <wp:effectExtent l="0" t="0" r="0" b="0"/>
            <wp:docPr id="867749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5200" cy="2220831"/>
                    </a:xfrm>
                    <a:prstGeom prst="rect">
                      <a:avLst/>
                    </a:prstGeom>
                    <a:noFill/>
                    <a:ln>
                      <a:noFill/>
                    </a:ln>
                  </pic:spPr>
                </pic:pic>
              </a:graphicData>
            </a:graphic>
          </wp:inline>
        </w:drawing>
      </w:r>
      <w:r w:rsidRPr="0073063D">
        <w:rPr>
          <w:i/>
          <w:iCs/>
        </w:rPr>
        <w:t>Fig. 2</w:t>
      </w:r>
    </w:p>
    <w:p w14:paraId="6DAAE4C7" w14:textId="33BDAFC0" w:rsidR="00090169" w:rsidRPr="0073063D" w:rsidRDefault="0073063D" w:rsidP="00471C68">
      <w:pPr>
        <w:spacing w:after="120" w:line="480" w:lineRule="auto"/>
        <w:contextualSpacing/>
        <w:rPr>
          <w:i/>
          <w:iCs/>
        </w:rPr>
      </w:pPr>
      <w:r w:rsidRPr="0073063D">
        <w:rPr>
          <w:i/>
          <w:iCs/>
        </w:rPr>
        <w:t>(Figure 1</w:t>
      </w:r>
      <w:r w:rsidR="00090169" w:rsidRPr="0073063D">
        <w:rPr>
          <w:i/>
          <w:iCs/>
        </w:rPr>
        <w:t xml:space="preserve">SDS-PAGE result after an over-exposure was done to the original image Figure 2) transfer of the control ladder in the SDS-PAGE electrophoresis nitrocellulose paper prior to antibody additions  </w:t>
      </w:r>
    </w:p>
    <w:p w14:paraId="33D1851D" w14:textId="6717D6C7" w:rsidR="00090169" w:rsidRPr="0073063D" w:rsidRDefault="00090169" w:rsidP="00471C68">
      <w:pPr>
        <w:spacing w:after="120" w:line="480" w:lineRule="auto"/>
        <w:contextualSpacing/>
      </w:pPr>
      <w:r w:rsidRPr="0073063D">
        <w:t xml:space="preserve">There were positive results post electrophoresis and prior to the antibody process (Figure 2). Only results produced were from the SDS-PAGE. The samples used were implemented in another experiment using RNAi PCR nano testing and resulted in data collection being successful.  </w:t>
      </w:r>
    </w:p>
    <w:p w14:paraId="144B5026" w14:textId="7F291BAE" w:rsidR="00090169" w:rsidRPr="0073063D" w:rsidRDefault="00090169" w:rsidP="00471C68">
      <w:pPr>
        <w:spacing w:after="120" w:line="480" w:lineRule="auto"/>
        <w:contextualSpacing/>
      </w:pPr>
      <w:r w:rsidRPr="0073063D">
        <w:t xml:space="preserve">Therefore, the samples were crossed correctly for the lines of EP, </w:t>
      </w:r>
      <w:proofErr w:type="spellStart"/>
      <w:r w:rsidRPr="0073063D">
        <w:t>TRiP</w:t>
      </w:r>
      <w:proofErr w:type="spellEnd"/>
      <w:r w:rsidRPr="0073063D">
        <w:t xml:space="preserve"> and HSP.  </w:t>
      </w:r>
    </w:p>
    <w:p w14:paraId="284E8431" w14:textId="77777777" w:rsidR="00090169" w:rsidRPr="0073063D" w:rsidRDefault="00090169" w:rsidP="00471C68">
      <w:pPr>
        <w:spacing w:after="120" w:line="480" w:lineRule="auto"/>
        <w:contextualSpacing/>
      </w:pPr>
      <w:r w:rsidRPr="0073063D">
        <w:lastRenderedPageBreak/>
        <w:t xml:space="preserve">The pH was tested digitally post electrophoresis completion, although the methodology does not require this. Using a Thermo-Scientific meter, the results were as follows: Western blot NUT-PAGE solution: pH 7.8; Western blot SDS-PAGE solution: pH 8.7; SDS-PAGE running buffer solution: pH 8.8; NUT-PAGE running buffer solution: pH 7.7 (Table 1).  </w:t>
      </w:r>
    </w:p>
    <w:p w14:paraId="67322317" w14:textId="77777777" w:rsidR="00090169" w:rsidRPr="0073063D" w:rsidRDefault="00090169" w:rsidP="00471C68">
      <w:pPr>
        <w:spacing w:after="120" w:line="480" w:lineRule="auto"/>
        <w:contextualSpacing/>
      </w:pPr>
    </w:p>
    <w:p w14:paraId="71CEED96" w14:textId="0E34157D" w:rsidR="00090169" w:rsidRPr="0073063D" w:rsidRDefault="00090169" w:rsidP="00471C68">
      <w:pPr>
        <w:spacing w:after="120" w:line="480" w:lineRule="auto"/>
        <w:contextualSpacing/>
      </w:pPr>
      <w:r w:rsidRPr="0073063D">
        <w:t>Table 1: pH Readings of Solutions Used for Electrophoresis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7"/>
        <w:gridCol w:w="400"/>
      </w:tblGrid>
      <w:tr w:rsidR="0073063D" w:rsidRPr="0073063D" w14:paraId="1EA32BD8" w14:textId="77777777">
        <w:trPr>
          <w:tblHeader/>
          <w:tblCellSpacing w:w="15" w:type="dxa"/>
        </w:trPr>
        <w:tc>
          <w:tcPr>
            <w:tcW w:w="0" w:type="auto"/>
            <w:vAlign w:val="center"/>
            <w:hideMark/>
          </w:tcPr>
          <w:p w14:paraId="3074E895" w14:textId="77777777" w:rsidR="0073063D" w:rsidRPr="0073063D" w:rsidRDefault="0073063D" w:rsidP="00471C68">
            <w:pPr>
              <w:spacing w:after="120" w:line="480" w:lineRule="auto"/>
              <w:contextualSpacing/>
            </w:pPr>
            <w:r w:rsidRPr="0073063D">
              <w:t>Solution</w:t>
            </w:r>
          </w:p>
        </w:tc>
        <w:tc>
          <w:tcPr>
            <w:tcW w:w="0" w:type="auto"/>
            <w:vAlign w:val="center"/>
            <w:hideMark/>
          </w:tcPr>
          <w:p w14:paraId="100B5AB3" w14:textId="77777777" w:rsidR="0073063D" w:rsidRPr="0073063D" w:rsidRDefault="0073063D" w:rsidP="00471C68">
            <w:pPr>
              <w:spacing w:after="120" w:line="480" w:lineRule="auto"/>
              <w:contextualSpacing/>
            </w:pPr>
            <w:r w:rsidRPr="0073063D">
              <w:t>pH</w:t>
            </w:r>
          </w:p>
        </w:tc>
      </w:tr>
      <w:tr w:rsidR="0073063D" w:rsidRPr="0073063D" w14:paraId="64742BDA" w14:textId="77777777">
        <w:trPr>
          <w:tblCellSpacing w:w="15" w:type="dxa"/>
        </w:trPr>
        <w:tc>
          <w:tcPr>
            <w:tcW w:w="0" w:type="auto"/>
            <w:vAlign w:val="center"/>
            <w:hideMark/>
          </w:tcPr>
          <w:p w14:paraId="74D5B463" w14:textId="77777777" w:rsidR="0073063D" w:rsidRPr="0073063D" w:rsidRDefault="0073063D" w:rsidP="00471C68">
            <w:pPr>
              <w:spacing w:after="120" w:line="480" w:lineRule="auto"/>
              <w:contextualSpacing/>
            </w:pPr>
            <w:r w:rsidRPr="0073063D">
              <w:t>Western blot NUT-PAGE</w:t>
            </w:r>
          </w:p>
        </w:tc>
        <w:tc>
          <w:tcPr>
            <w:tcW w:w="0" w:type="auto"/>
            <w:vAlign w:val="center"/>
            <w:hideMark/>
          </w:tcPr>
          <w:p w14:paraId="45763FA3" w14:textId="77777777" w:rsidR="0073063D" w:rsidRPr="0073063D" w:rsidRDefault="0073063D" w:rsidP="00471C68">
            <w:pPr>
              <w:spacing w:after="120" w:line="480" w:lineRule="auto"/>
              <w:contextualSpacing/>
            </w:pPr>
            <w:r w:rsidRPr="0073063D">
              <w:t>7.8</w:t>
            </w:r>
          </w:p>
        </w:tc>
      </w:tr>
      <w:tr w:rsidR="0073063D" w:rsidRPr="0073063D" w14:paraId="2DFE82BE" w14:textId="77777777">
        <w:trPr>
          <w:tblCellSpacing w:w="15" w:type="dxa"/>
        </w:trPr>
        <w:tc>
          <w:tcPr>
            <w:tcW w:w="0" w:type="auto"/>
            <w:vAlign w:val="center"/>
            <w:hideMark/>
          </w:tcPr>
          <w:p w14:paraId="57C329A7" w14:textId="77777777" w:rsidR="0073063D" w:rsidRPr="0073063D" w:rsidRDefault="0073063D" w:rsidP="00471C68">
            <w:pPr>
              <w:spacing w:after="120" w:line="480" w:lineRule="auto"/>
              <w:contextualSpacing/>
            </w:pPr>
            <w:r w:rsidRPr="0073063D">
              <w:t>NUT-PAGE phosphate running buffer</w:t>
            </w:r>
          </w:p>
        </w:tc>
        <w:tc>
          <w:tcPr>
            <w:tcW w:w="0" w:type="auto"/>
            <w:vAlign w:val="center"/>
            <w:hideMark/>
          </w:tcPr>
          <w:p w14:paraId="7521D53D" w14:textId="77777777" w:rsidR="0073063D" w:rsidRPr="0073063D" w:rsidRDefault="0073063D" w:rsidP="00471C68">
            <w:pPr>
              <w:spacing w:after="120" w:line="480" w:lineRule="auto"/>
              <w:contextualSpacing/>
            </w:pPr>
            <w:r w:rsidRPr="0073063D">
              <w:t>7.7</w:t>
            </w:r>
          </w:p>
        </w:tc>
      </w:tr>
      <w:tr w:rsidR="0073063D" w:rsidRPr="0073063D" w14:paraId="688E8751" w14:textId="77777777">
        <w:trPr>
          <w:tblCellSpacing w:w="15" w:type="dxa"/>
        </w:trPr>
        <w:tc>
          <w:tcPr>
            <w:tcW w:w="0" w:type="auto"/>
            <w:vAlign w:val="center"/>
            <w:hideMark/>
          </w:tcPr>
          <w:p w14:paraId="17EA76FC" w14:textId="77777777" w:rsidR="0073063D" w:rsidRPr="0073063D" w:rsidRDefault="0073063D" w:rsidP="00471C68">
            <w:pPr>
              <w:spacing w:after="120" w:line="480" w:lineRule="auto"/>
              <w:contextualSpacing/>
            </w:pPr>
            <w:r w:rsidRPr="0073063D">
              <w:t>Western blot SDS-PAGE</w:t>
            </w:r>
          </w:p>
        </w:tc>
        <w:tc>
          <w:tcPr>
            <w:tcW w:w="0" w:type="auto"/>
            <w:vAlign w:val="center"/>
            <w:hideMark/>
          </w:tcPr>
          <w:p w14:paraId="18E371B9" w14:textId="77777777" w:rsidR="0073063D" w:rsidRPr="0073063D" w:rsidRDefault="0073063D" w:rsidP="00471C68">
            <w:pPr>
              <w:spacing w:after="120" w:line="480" w:lineRule="auto"/>
              <w:contextualSpacing/>
            </w:pPr>
            <w:r w:rsidRPr="0073063D">
              <w:t>8.7</w:t>
            </w:r>
          </w:p>
        </w:tc>
      </w:tr>
      <w:tr w:rsidR="0073063D" w:rsidRPr="0073063D" w14:paraId="078458ED" w14:textId="77777777">
        <w:trPr>
          <w:tblCellSpacing w:w="15" w:type="dxa"/>
        </w:trPr>
        <w:tc>
          <w:tcPr>
            <w:tcW w:w="0" w:type="auto"/>
            <w:vAlign w:val="center"/>
            <w:hideMark/>
          </w:tcPr>
          <w:p w14:paraId="3EEA28B6" w14:textId="77777777" w:rsidR="0073063D" w:rsidRPr="0073063D" w:rsidRDefault="0073063D" w:rsidP="00471C68">
            <w:pPr>
              <w:spacing w:after="120" w:line="480" w:lineRule="auto"/>
              <w:contextualSpacing/>
            </w:pPr>
            <w:r w:rsidRPr="0073063D">
              <w:t>SDS-PAGE running buffer</w:t>
            </w:r>
          </w:p>
        </w:tc>
        <w:tc>
          <w:tcPr>
            <w:tcW w:w="0" w:type="auto"/>
            <w:vAlign w:val="center"/>
            <w:hideMark/>
          </w:tcPr>
          <w:p w14:paraId="38289261" w14:textId="77777777" w:rsidR="0073063D" w:rsidRPr="0073063D" w:rsidRDefault="0073063D" w:rsidP="00471C68">
            <w:pPr>
              <w:spacing w:after="120" w:line="480" w:lineRule="auto"/>
              <w:contextualSpacing/>
            </w:pPr>
            <w:r w:rsidRPr="0073063D">
              <w:t>8.8</w:t>
            </w:r>
          </w:p>
        </w:tc>
      </w:tr>
    </w:tbl>
    <w:p w14:paraId="6BC24122" w14:textId="77777777" w:rsidR="0073063D" w:rsidRPr="0073063D" w:rsidRDefault="0073063D" w:rsidP="00471C68">
      <w:pPr>
        <w:spacing w:after="120" w:line="480" w:lineRule="auto"/>
        <w:contextualSpacing/>
      </w:pPr>
    </w:p>
    <w:p w14:paraId="2EC5E358" w14:textId="38DBD70A" w:rsidR="00090169" w:rsidRPr="0073063D" w:rsidRDefault="00090169" w:rsidP="00471C68">
      <w:pPr>
        <w:spacing w:after="120" w:line="480" w:lineRule="auto"/>
        <w:ind w:firstLine="720"/>
        <w:contextualSpacing/>
      </w:pPr>
      <w:r w:rsidRPr="0073063D">
        <w:t xml:space="preserve">The SDS-PAGE buffer is as it should be at pH ~8.8 as SDS is an anionic detergent and as it dissolves it contributes negative charges to the denaturation of the proteins as it separates by molecular weight. NUT-PAGE requires a neutral pH of ~7.0 for successful charge differentiation during electrophoresis. NUT-PAGE readings were at pH ~7.8.  </w:t>
      </w:r>
      <w:r w:rsidR="0073063D" w:rsidRPr="0073063D">
        <w:t>\</w:t>
      </w:r>
    </w:p>
    <w:p w14:paraId="7CC59B35" w14:textId="106A2450" w:rsidR="00090169" w:rsidRPr="0073063D" w:rsidRDefault="00090169" w:rsidP="00471C68">
      <w:pPr>
        <w:spacing w:after="120" w:line="480" w:lineRule="auto"/>
        <w:ind w:firstLine="720"/>
        <w:contextualSpacing/>
      </w:pPr>
      <w:r w:rsidRPr="0073063D">
        <w:t xml:space="preserve">It is possible that the pH increase of 0.8 affected the charge dependent NUT-PAGE results, but not the results of the SDS-PAGE as the pH levels are conducive for this experimentation.  </w:t>
      </w:r>
    </w:p>
    <w:p w14:paraId="0E184E9D" w14:textId="6987A209" w:rsidR="00090169" w:rsidRPr="0073063D" w:rsidRDefault="00090169" w:rsidP="00471C68">
      <w:pPr>
        <w:spacing w:after="120" w:line="480" w:lineRule="auto"/>
        <w:ind w:firstLine="720"/>
        <w:contextualSpacing/>
      </w:pPr>
      <w:r w:rsidRPr="0073063D">
        <w:t xml:space="preserve">The solution in the wells of machines needed consistent refilling due to fluid loss throughout the electrophoresis process. More solutions needed to be made to compensate </w:t>
      </w:r>
      <w:r w:rsidR="00C83FD5" w:rsidRPr="0073063D">
        <w:t>for</w:t>
      </w:r>
      <w:r w:rsidRPr="0073063D">
        <w:t xml:space="preserve"> 45 minutes of running the process. It is an excessive amount and certainty </w:t>
      </w:r>
      <w:r w:rsidRPr="0073063D">
        <w:lastRenderedPageBreak/>
        <w:t xml:space="preserve">error </w:t>
      </w:r>
      <w:r w:rsidR="00C83FD5" w:rsidRPr="0073063D">
        <w:t>occurred</w:t>
      </w:r>
      <w:r w:rsidRPr="0073063D">
        <w:t xml:space="preserve"> during the running of electrophoresis. However, conclusive experimental errors are unknown </w:t>
      </w:r>
      <w:r w:rsidR="00C83FD5" w:rsidRPr="0073063D">
        <w:t>currently</w:t>
      </w:r>
      <w:r w:rsidRPr="0073063D">
        <w:t xml:space="preserve">.  </w:t>
      </w:r>
    </w:p>
    <w:p w14:paraId="0F738207" w14:textId="1584DD19" w:rsidR="00090169" w:rsidRPr="0073063D" w:rsidRDefault="00090169" w:rsidP="00471C68">
      <w:pPr>
        <w:spacing w:after="120" w:line="480" w:lineRule="auto"/>
        <w:ind w:firstLine="720"/>
        <w:contextualSpacing/>
      </w:pPr>
      <w:r w:rsidRPr="0073063D">
        <w:t xml:space="preserve">MOPS having been substituted for in lab prepared phosphate buffer may explain the inefficiency of histone transfer as it maintains a neutral </w:t>
      </w:r>
      <w:proofErr w:type="spellStart"/>
      <w:r w:rsidRPr="0073063D">
        <w:t>pH.</w:t>
      </w:r>
      <w:proofErr w:type="spellEnd"/>
      <w:r w:rsidRPr="0073063D">
        <w:t xml:space="preserve"> If a neutral pH was not maintained throughout the process, phosphate groups are not ensured to have been deprotonated.  </w:t>
      </w:r>
    </w:p>
    <w:p w14:paraId="6267EA45" w14:textId="49E9483B" w:rsidR="00090169" w:rsidRPr="0073063D" w:rsidRDefault="00090169" w:rsidP="00471C68">
      <w:pPr>
        <w:spacing w:after="120" w:line="480" w:lineRule="auto"/>
        <w:ind w:firstLine="720"/>
        <w:contextualSpacing/>
      </w:pPr>
      <w:r w:rsidRPr="0073063D">
        <w:t xml:space="preserve">Running NUT-PAGE overnight has been successful. It is possible that the </w:t>
      </w:r>
      <w:proofErr w:type="gramStart"/>
      <w:r w:rsidRPr="0073063D">
        <w:t>90 minute</w:t>
      </w:r>
      <w:proofErr w:type="gramEnd"/>
      <w:r w:rsidRPr="0073063D">
        <w:t xml:space="preserve"> parameter of run-time did not allow for the acetylated protein separation. With the electrical shorting out of the machine during this experimentation, an overnight run was not an option. Also, if there was any type of boiling within the wells during the gel runs, it would have neutralized the sample charges.  </w:t>
      </w:r>
    </w:p>
    <w:p w14:paraId="75511D3C" w14:textId="273FF0A4" w:rsidR="00090169" w:rsidRPr="0073063D" w:rsidRDefault="00090169" w:rsidP="00471C68">
      <w:pPr>
        <w:spacing w:after="120" w:line="480" w:lineRule="auto"/>
        <w:ind w:firstLine="720"/>
        <w:contextualSpacing/>
      </w:pPr>
      <w:r w:rsidRPr="0073063D">
        <w:t xml:space="preserve">NUT-PAGE effectiveness is limited by only two factors regarding histone proteins. The </w:t>
      </w:r>
      <w:proofErr w:type="spellStart"/>
      <w:r w:rsidRPr="0073063D">
        <w:t>pI</w:t>
      </w:r>
      <w:proofErr w:type="spellEnd"/>
      <w:r w:rsidRPr="0073063D">
        <w:t xml:space="preserve"> and molecular weight. If the samples’ </w:t>
      </w:r>
      <w:proofErr w:type="spellStart"/>
      <w:r w:rsidRPr="0073063D">
        <w:t>pI</w:t>
      </w:r>
      <w:proofErr w:type="spellEnd"/>
      <w:r w:rsidRPr="0073063D">
        <w:t xml:space="preserve"> was at a neutral pH initially, then the charge exchange would reflect no electrophoretic motility results since all charges would have been neutralized and </w:t>
      </w:r>
      <w:proofErr w:type="spellStart"/>
      <w:r w:rsidRPr="0073063D">
        <w:t>pI</w:t>
      </w:r>
      <w:proofErr w:type="spellEnd"/>
      <w:r w:rsidRPr="0073063D">
        <w:t xml:space="preserve"> would be equivalent to pH (Schecter et al., 2007). However, testing for specific post-translational lines should have altered the net charge by +1 for acetylated H2A.Z. No further analysis can be done.  </w:t>
      </w:r>
    </w:p>
    <w:p w14:paraId="564D0E8A" w14:textId="355DE954" w:rsidR="00090169" w:rsidRPr="00471C68" w:rsidRDefault="00090169" w:rsidP="00471C68">
      <w:pPr>
        <w:spacing w:after="120" w:line="480" w:lineRule="auto"/>
        <w:contextualSpacing/>
        <w:rPr>
          <w:b/>
          <w:bCs/>
        </w:rPr>
      </w:pPr>
      <w:r w:rsidRPr="00471C68">
        <w:rPr>
          <w:b/>
          <w:bCs/>
        </w:rPr>
        <w:t>Discussion</w:t>
      </w:r>
    </w:p>
    <w:p w14:paraId="7743D08F" w14:textId="105C8F11" w:rsidR="00090169" w:rsidRPr="0073063D" w:rsidRDefault="0073063D" w:rsidP="00471C68">
      <w:pPr>
        <w:spacing w:after="120" w:line="480" w:lineRule="auto"/>
        <w:ind w:firstLine="720"/>
        <w:contextualSpacing/>
      </w:pPr>
      <w:r w:rsidRPr="0073063D">
        <w:t xml:space="preserve">Experimental error was possible and no conclusive data elucidated. </w:t>
      </w:r>
      <w:r w:rsidR="00090169" w:rsidRPr="0073063D">
        <w:t xml:space="preserve"> Speculation is made for said error, </w:t>
      </w:r>
      <w:r w:rsidR="00E728CB" w:rsidRPr="0073063D">
        <w:t>and</w:t>
      </w:r>
      <w:r w:rsidR="00090169" w:rsidRPr="0073063D">
        <w:t xml:space="preserve"> conclusive reasoning </w:t>
      </w:r>
      <w:r w:rsidR="00E728CB" w:rsidRPr="0073063D">
        <w:t>is only labeled as such</w:t>
      </w:r>
      <w:r w:rsidR="00090169" w:rsidRPr="0073063D">
        <w:t>. In future utilization of NUT-PAGE procedures, using the assigned and proven components for the procedure is</w:t>
      </w:r>
      <w:r w:rsidR="00E728CB" w:rsidRPr="0073063D">
        <w:t xml:space="preserve"> necessary (</w:t>
      </w:r>
      <w:r w:rsidR="00E728CB" w:rsidRPr="0073063D">
        <w:rPr>
          <w:i/>
          <w:iCs/>
        </w:rPr>
        <w:t>performed during global pandemic supply shortages</w:t>
      </w:r>
      <w:r w:rsidR="00E728CB" w:rsidRPr="0073063D">
        <w:t>)</w:t>
      </w:r>
      <w:r w:rsidR="00090169" w:rsidRPr="0073063D">
        <w:t xml:space="preserve">.  </w:t>
      </w:r>
      <w:r w:rsidR="00E728CB" w:rsidRPr="0073063D">
        <w:t xml:space="preserve"> </w:t>
      </w:r>
      <w:r w:rsidR="00090169" w:rsidRPr="0073063D">
        <w:t xml:space="preserve">Histone presence </w:t>
      </w:r>
      <w:r w:rsidR="00090169" w:rsidRPr="0073063D">
        <w:lastRenderedPageBreak/>
        <w:t xml:space="preserve">existed in the samples, but somehow the charges were </w:t>
      </w:r>
      <w:proofErr w:type="gramStart"/>
      <w:r w:rsidR="00090169" w:rsidRPr="0073063D">
        <w:t>negated</w:t>
      </w:r>
      <w:proofErr w:type="gramEnd"/>
      <w:r w:rsidR="00090169" w:rsidRPr="0073063D">
        <w:t xml:space="preserve"> and differentiation was null during the process, except for the heat shock protein in the SDS-PAGE control sample.  </w:t>
      </w:r>
    </w:p>
    <w:p w14:paraId="74613666" w14:textId="6180A508" w:rsidR="00090169" w:rsidRPr="0073063D" w:rsidRDefault="00090169" w:rsidP="00471C68">
      <w:pPr>
        <w:spacing w:after="120" w:line="480" w:lineRule="auto"/>
        <w:ind w:firstLine="720"/>
        <w:contextualSpacing/>
      </w:pPr>
      <w:r w:rsidRPr="0073063D">
        <w:t xml:space="preserve">Focusing on the larger impact of this type of data extraction, it contributes to imperative information to the role of histone influences and thereby gene function. SDS-PAGE techniques are used as essential tools in biochemistry and are often paired with other techniques such as mass spectroscopy, </w:t>
      </w:r>
      <w:proofErr w:type="spellStart"/>
      <w:r w:rsidRPr="0073063D">
        <w:t>ChIP</w:t>
      </w:r>
      <w:proofErr w:type="spellEnd"/>
      <w:r w:rsidRPr="0073063D">
        <w:t xml:space="preserve">-seq for loci specificity providing relative correlations in studies relating to genetic modifications in histone acetylation, phosphorylation and methylation.  </w:t>
      </w:r>
    </w:p>
    <w:p w14:paraId="122051DF" w14:textId="5A4818DD" w:rsidR="00090169" w:rsidRPr="0073063D" w:rsidRDefault="00090169" w:rsidP="00471C68">
      <w:pPr>
        <w:spacing w:after="120" w:line="480" w:lineRule="auto"/>
        <w:ind w:firstLine="720"/>
        <w:contextualSpacing/>
      </w:pPr>
      <w:r w:rsidRPr="0073063D">
        <w:t xml:space="preserve">Acetylation of H2A.Z provides easier access to the nucleosome and therefore the genetic material within the chromatin coil is not as tightly structured as it is with methylation. Techniques to supplement analysis of hard to access chromatin mechanisms are available, but expensive. NUT-PAGE offers a promisingly efficient and cost-friendly alternative.  </w:t>
      </w:r>
    </w:p>
    <w:p w14:paraId="5972ACBA" w14:textId="02CA51A3" w:rsidR="00090169" w:rsidRPr="0073063D" w:rsidRDefault="00090169" w:rsidP="00471C68">
      <w:pPr>
        <w:spacing w:after="120" w:line="480" w:lineRule="auto"/>
        <w:ind w:firstLine="720"/>
        <w:contextualSpacing/>
      </w:pPr>
      <w:r w:rsidRPr="0073063D">
        <w:t>The purpose of identifying histone post translational modifications</w:t>
      </w:r>
      <w:r w:rsidR="00E728CB" w:rsidRPr="0073063D">
        <w:t xml:space="preserve"> (PTMs)</w:t>
      </w:r>
      <w:r w:rsidRPr="0073063D">
        <w:t xml:space="preserve"> in overexpression and knock-down Jaz-F1 H2A.Zac (acetylated) is a good introduction to histone analysis. Insight can be gained into molecular mechanisms through experiment preparation and histone variant network functioning through breeding of </w:t>
      </w:r>
      <w:r w:rsidRPr="00471C68">
        <w:rPr>
          <w:i/>
          <w:iCs/>
        </w:rPr>
        <w:t>Drosophila</w:t>
      </w:r>
      <w:r w:rsidRPr="0073063D">
        <w:t xml:space="preserve">. Interesting educational foundations for chromatin changes due to gene expression regulation and networks of protein variant effects are beneficial possibilities via these performed experiments and initial approach.  </w:t>
      </w:r>
    </w:p>
    <w:p w14:paraId="3F6AEBE6" w14:textId="72065632" w:rsidR="00090169" w:rsidRPr="0073063D" w:rsidRDefault="00090169" w:rsidP="00471C68">
      <w:pPr>
        <w:spacing w:after="120" w:line="480" w:lineRule="auto"/>
        <w:ind w:firstLine="720"/>
        <w:contextualSpacing/>
      </w:pPr>
      <w:r w:rsidRPr="0073063D">
        <w:t xml:space="preserve">Emphasis can be placed on understanding the importance of histone variants associated with genetic transcription. In oncological studies, histone purification and </w:t>
      </w:r>
      <w:r w:rsidRPr="0073063D">
        <w:lastRenderedPageBreak/>
        <w:t xml:space="preserve">extraction is vital to biopharmaceutical research as chromatin remodeling is achieved through histone modifications. H2A.Z is widely associated with tumor growth and metastatic cancer proliferation (Vanderbilt-Ingram Cancer Center, 2017).  </w:t>
      </w:r>
    </w:p>
    <w:p w14:paraId="10ACE567" w14:textId="44C2E958" w:rsidR="00090169" w:rsidRPr="0073063D" w:rsidRDefault="00090169" w:rsidP="00471C68">
      <w:pPr>
        <w:spacing w:after="120" w:line="480" w:lineRule="auto"/>
        <w:ind w:firstLine="720"/>
        <w:contextualSpacing/>
      </w:pPr>
      <w:r w:rsidRPr="0073063D">
        <w:t>Of particular interest on the biomedical frontier is the implementation of chromatin mechanism restructuring via acetyl or methyl inhibitors/enhancers as therapeutic treatments in progressive diseases such as alcoholism and neurodegenerative diseases such as Alzheimer’s. Changing the chromatin structure changes gene functioning and sequential epigenetic effects occur. Since the histone variant H2A.Z and its two isoforms, H2A.Z.1 and H2A.Z.2 which interplay and antagonistically relate, have begun to be analyzed and are proven to be direct correlations and causes for the aforementioned human diseases (amongst others), the need for efficient and accurate techniques are necessitated in able to perpetuate a solution for pharmaceutical interventions in the progression of chromatin mechanism conformations and histone regulation is the avenue to approach these discoveries and advancements (</w:t>
      </w:r>
      <w:proofErr w:type="spellStart"/>
      <w:r w:rsidRPr="0073063D">
        <w:t>Warnoult</w:t>
      </w:r>
      <w:proofErr w:type="spellEnd"/>
      <w:r w:rsidRPr="0073063D">
        <w:t xml:space="preserve"> &amp; Ron, 2013).  </w:t>
      </w:r>
    </w:p>
    <w:p w14:paraId="386413F4" w14:textId="2DADE3A3" w:rsidR="00090169" w:rsidRPr="0073063D" w:rsidRDefault="00090169" w:rsidP="00471C68">
      <w:pPr>
        <w:spacing w:after="120" w:line="480" w:lineRule="auto"/>
        <w:ind w:firstLine="720"/>
        <w:contextualSpacing/>
      </w:pPr>
      <w:r w:rsidRPr="0073063D">
        <w:t xml:space="preserve">Regardless of the intricate variables that interplay, the principles of chemical structure remain the same, regardless of receptors or enzymes involved (Silverman &amp; Holladay, 2014). Once the design and action </w:t>
      </w:r>
      <w:proofErr w:type="gramStart"/>
      <w:r w:rsidRPr="0073063D">
        <w:t>is</w:t>
      </w:r>
      <w:proofErr w:type="gramEnd"/>
      <w:r w:rsidRPr="0073063D">
        <w:t xml:space="preserve"> understood, the concepts can be applied based on the core principle mechanisms.  </w:t>
      </w:r>
    </w:p>
    <w:p w14:paraId="7DF7B915" w14:textId="77777777" w:rsidR="00C83FD5" w:rsidRDefault="00C83FD5" w:rsidP="00471C68">
      <w:pPr>
        <w:spacing w:after="120" w:line="480" w:lineRule="auto"/>
        <w:contextualSpacing/>
      </w:pPr>
    </w:p>
    <w:p w14:paraId="2430B6A6" w14:textId="77777777" w:rsidR="00C83FD5" w:rsidRDefault="00C83FD5" w:rsidP="00471C68">
      <w:pPr>
        <w:spacing w:after="120" w:line="480" w:lineRule="auto"/>
        <w:contextualSpacing/>
      </w:pPr>
    </w:p>
    <w:p w14:paraId="36E9AFB3" w14:textId="77777777" w:rsidR="00C83FD5" w:rsidRDefault="00C83FD5" w:rsidP="00471C68">
      <w:pPr>
        <w:spacing w:after="120" w:line="480" w:lineRule="auto"/>
        <w:contextualSpacing/>
      </w:pPr>
    </w:p>
    <w:p w14:paraId="0ECD5058" w14:textId="77777777" w:rsidR="00C83FD5" w:rsidRDefault="00C83FD5" w:rsidP="00471C68">
      <w:pPr>
        <w:spacing w:after="120" w:line="480" w:lineRule="auto"/>
        <w:contextualSpacing/>
      </w:pPr>
    </w:p>
    <w:p w14:paraId="5413EBD1" w14:textId="3E063288" w:rsidR="00090169" w:rsidRPr="00C83FD5" w:rsidRDefault="00090169" w:rsidP="00471C68">
      <w:pPr>
        <w:spacing w:after="120" w:line="480" w:lineRule="auto"/>
        <w:contextualSpacing/>
        <w:rPr>
          <w:b/>
          <w:bCs/>
        </w:rPr>
      </w:pPr>
      <w:r w:rsidRPr="00C83FD5">
        <w:rPr>
          <w:b/>
          <w:bCs/>
        </w:rPr>
        <w:lastRenderedPageBreak/>
        <w:t>Cited References</w:t>
      </w:r>
    </w:p>
    <w:p w14:paraId="193B2A87" w14:textId="6F5ED94F" w:rsidR="00090169" w:rsidRPr="0073063D" w:rsidRDefault="00090169" w:rsidP="00471C68">
      <w:pPr>
        <w:spacing w:after="120" w:line="480" w:lineRule="auto"/>
        <w:contextualSpacing/>
      </w:pPr>
      <w:r w:rsidRPr="0073063D">
        <w:t xml:space="preserve">Buehl, C. J., Deng, X., Liu, M., McAndrew, M. J., Hovde, S., Xu, X., &amp; Kuo, M. H. (2014). Resolving acetylated and phosphorylated proteins by neutral urea Triton-polyacrylamide gel electrophoresis: NUT-PAGE. </w:t>
      </w:r>
      <w:proofErr w:type="spellStart"/>
      <w:r w:rsidRPr="00C83FD5">
        <w:rPr>
          <w:i/>
          <w:iCs/>
        </w:rPr>
        <w:t>BioTechniques</w:t>
      </w:r>
      <w:proofErr w:type="spellEnd"/>
      <w:r w:rsidRPr="0073063D">
        <w:t xml:space="preserve">, 57(2), 72–80. https://doi.org/10.2144/000114197  </w:t>
      </w:r>
    </w:p>
    <w:p w14:paraId="2F98D0B1" w14:textId="2F1C26D8" w:rsidR="00090169" w:rsidRPr="0073063D" w:rsidRDefault="00090169" w:rsidP="00471C68">
      <w:pPr>
        <w:spacing w:after="120" w:line="480" w:lineRule="auto"/>
        <w:contextualSpacing/>
      </w:pPr>
      <w:r w:rsidRPr="0073063D">
        <w:t xml:space="preserve">Cheung, P., Allis, C.D., Sassone-Corsi, P. (2000). Signaling to chromatin through histone modifications. </w:t>
      </w:r>
      <w:r w:rsidRPr="00C83FD5">
        <w:rPr>
          <w:i/>
          <w:iCs/>
        </w:rPr>
        <w:t>Cell</w:t>
      </w:r>
      <w:r w:rsidRPr="0073063D">
        <w:t xml:space="preserve">, 103, 263-271.  </w:t>
      </w:r>
    </w:p>
    <w:p w14:paraId="311FE745" w14:textId="2CC8DD37" w:rsidR="00090169" w:rsidRPr="0073063D" w:rsidRDefault="00090169" w:rsidP="00471C68">
      <w:pPr>
        <w:spacing w:after="120" w:line="480" w:lineRule="auto"/>
        <w:contextualSpacing/>
      </w:pPr>
      <w:proofErr w:type="spellStart"/>
      <w:r w:rsidRPr="0073063D">
        <w:t>Clocchiatti</w:t>
      </w:r>
      <w:proofErr w:type="spellEnd"/>
      <w:r w:rsidRPr="0073063D">
        <w:t xml:space="preserve">, A., et al. (2021). JAZF1, A Novel p400/TIP60/NuA4 Complex Member, Regulates H2A.Z Acetylation at Regulatory Regions. </w:t>
      </w:r>
      <w:r w:rsidRPr="00C83FD5">
        <w:rPr>
          <w:i/>
          <w:iCs/>
        </w:rPr>
        <w:t>PMC</w:t>
      </w:r>
      <w:r w:rsidRPr="0073063D">
        <w:t xml:space="preserve">, PMC7826843.  </w:t>
      </w:r>
    </w:p>
    <w:p w14:paraId="2535AAB5" w14:textId="68B425C4" w:rsidR="00090169" w:rsidRPr="0073063D" w:rsidRDefault="00090169" w:rsidP="00C83FD5">
      <w:pPr>
        <w:spacing w:after="120" w:line="480" w:lineRule="auto"/>
        <w:contextualSpacing/>
      </w:pPr>
      <w:r w:rsidRPr="0073063D">
        <w:t xml:space="preserve">Hake, S.B., et al. (2006). Expression patterns and post-translational modifications associated with mammalian histone H3 variants. </w:t>
      </w:r>
      <w:r w:rsidRPr="00C83FD5">
        <w:rPr>
          <w:i/>
          <w:iCs/>
        </w:rPr>
        <w:t>J. Biol. Chem</w:t>
      </w:r>
      <w:r w:rsidRPr="0073063D">
        <w:t xml:space="preserve">., 281, 559-568.  </w:t>
      </w:r>
    </w:p>
    <w:p w14:paraId="15A7C45B" w14:textId="602A0A30" w:rsidR="00090169" w:rsidRPr="0073063D" w:rsidRDefault="00090169" w:rsidP="00471C68">
      <w:pPr>
        <w:spacing w:after="120" w:line="480" w:lineRule="auto"/>
        <w:contextualSpacing/>
      </w:pPr>
      <w:r w:rsidRPr="0073063D">
        <w:t xml:space="preserve">Hull, E. E., et al. (2016). HDAC Inhibitors as Epigenetic Regulators of the Immune... </w:t>
      </w:r>
      <w:r w:rsidRPr="00C83FD5">
        <w:rPr>
          <w:i/>
          <w:iCs/>
        </w:rPr>
        <w:t>PMC</w:t>
      </w:r>
      <w:r w:rsidRPr="0073063D">
        <w:t xml:space="preserve">, PMC4983322.  </w:t>
      </w:r>
    </w:p>
    <w:p w14:paraId="75F1AF48" w14:textId="06689E8A" w:rsidR="00090169" w:rsidRPr="0073063D" w:rsidRDefault="00090169" w:rsidP="00471C68">
      <w:pPr>
        <w:spacing w:after="120" w:line="480" w:lineRule="auto"/>
        <w:contextualSpacing/>
      </w:pPr>
      <w:r w:rsidRPr="0073063D">
        <w:t xml:space="preserve">Murray, K. (1966). The acid extraction of histones from calf thymus deoxyribonucleoprotein. </w:t>
      </w:r>
      <w:r w:rsidRPr="00C83FD5">
        <w:rPr>
          <w:i/>
          <w:iCs/>
        </w:rPr>
        <w:t>J. Mol. Biol</w:t>
      </w:r>
      <w:r w:rsidRPr="0073063D">
        <w:t xml:space="preserve">., 15, 409-419.  </w:t>
      </w:r>
    </w:p>
    <w:p w14:paraId="140F6B6A" w14:textId="35A970E0" w:rsidR="00090169" w:rsidRPr="0073063D" w:rsidRDefault="00090169" w:rsidP="00471C68">
      <w:pPr>
        <w:spacing w:after="120" w:line="480" w:lineRule="auto"/>
        <w:contextualSpacing/>
      </w:pPr>
      <w:r w:rsidRPr="0073063D">
        <w:t xml:space="preserve">Ogawa, O., et al. (2003). Ectopic localization of phosphorylated histone H3 in... </w:t>
      </w:r>
      <w:r w:rsidRPr="00C83FD5">
        <w:rPr>
          <w:i/>
          <w:iCs/>
        </w:rPr>
        <w:t>PubMed</w:t>
      </w:r>
      <w:r w:rsidRPr="0073063D">
        <w:t xml:space="preserve">, 12677454.  </w:t>
      </w:r>
    </w:p>
    <w:p w14:paraId="2ADDCCEF" w14:textId="07853C57" w:rsidR="00090169" w:rsidRPr="0073063D" w:rsidRDefault="00090169" w:rsidP="00471C68">
      <w:pPr>
        <w:spacing w:after="120" w:line="480" w:lineRule="auto"/>
        <w:contextualSpacing/>
      </w:pPr>
      <w:r w:rsidRPr="0073063D">
        <w:t xml:space="preserve">Pulver, S. R. (2012). </w:t>
      </w:r>
      <w:r w:rsidRPr="00471C68">
        <w:rPr>
          <w:i/>
          <w:iCs/>
        </w:rPr>
        <w:t>Drosophila</w:t>
      </w:r>
      <w:r w:rsidRPr="0073063D">
        <w:t xml:space="preserve"> </w:t>
      </w:r>
      <w:r w:rsidRPr="00471C68">
        <w:rPr>
          <w:i/>
          <w:iCs/>
        </w:rPr>
        <w:t>Melanogaster</w:t>
      </w:r>
      <w:r w:rsidRPr="0073063D">
        <w:t xml:space="preserve"> Sex differentiation. </w:t>
      </w:r>
      <w:r w:rsidRPr="00C83FD5">
        <w:rPr>
          <w:i/>
          <w:iCs/>
        </w:rPr>
        <w:t>Journal of Undergraduate</w:t>
      </w:r>
      <w:r w:rsidRPr="0073063D">
        <w:t xml:space="preserve"> </w:t>
      </w:r>
      <w:r w:rsidRPr="00C83FD5">
        <w:rPr>
          <w:i/>
          <w:iCs/>
        </w:rPr>
        <w:t>Neuroscience</w:t>
      </w:r>
      <w:r w:rsidRPr="0073063D">
        <w:t xml:space="preserve"> </w:t>
      </w:r>
      <w:r w:rsidRPr="00C83FD5">
        <w:rPr>
          <w:i/>
          <w:iCs/>
        </w:rPr>
        <w:t>Education</w:t>
      </w:r>
      <w:r w:rsidRPr="0073063D">
        <w:t xml:space="preserve">. Retrieved April 22, 2022, from https://www.researchgate.net/profile/Jimena-Berni/publication/236047716/figure/fig3/AS:669310959771667@1536587576705/Determining-gender-in-fruit-flies-A-Males-have-d arker-and-rounder-abdomen-than-females.jpg.  </w:t>
      </w:r>
    </w:p>
    <w:p w14:paraId="4F9227C9" w14:textId="51119D43" w:rsidR="00090169" w:rsidRPr="0073063D" w:rsidRDefault="00090169" w:rsidP="00471C68">
      <w:pPr>
        <w:spacing w:after="120" w:line="480" w:lineRule="auto"/>
        <w:contextualSpacing/>
      </w:pPr>
      <w:r w:rsidRPr="0073063D">
        <w:lastRenderedPageBreak/>
        <w:t xml:space="preserve">Schechter D, Dormann HL, Allis CD, Hake SB. (2007). Extraction, purification and analysis of histones. </w:t>
      </w:r>
      <w:r w:rsidRPr="00C83FD5">
        <w:rPr>
          <w:i/>
          <w:iCs/>
        </w:rPr>
        <w:t>Nat</w:t>
      </w:r>
      <w:r w:rsidRPr="0073063D">
        <w:t xml:space="preserve"> </w:t>
      </w:r>
      <w:r w:rsidRPr="00C83FD5">
        <w:rPr>
          <w:i/>
          <w:iCs/>
        </w:rPr>
        <w:t>Pr</w:t>
      </w:r>
      <w:proofErr w:type="spellStart"/>
      <w:r w:rsidRPr="00C83FD5">
        <w:rPr>
          <w:i/>
          <w:iCs/>
        </w:rPr>
        <w:t>otoc</w:t>
      </w:r>
      <w:proofErr w:type="spellEnd"/>
      <w:r w:rsidRPr="0073063D">
        <w:t xml:space="preserve">. </w:t>
      </w:r>
      <w:proofErr w:type="spellStart"/>
      <w:r w:rsidRPr="0073063D">
        <w:t>doi</w:t>
      </w:r>
      <w:proofErr w:type="spellEnd"/>
      <w:r w:rsidRPr="0073063D">
        <w:t xml:space="preserve">: 10.1038/nprot.2007.202. MID: 17545981.  </w:t>
      </w:r>
    </w:p>
    <w:p w14:paraId="53A4266A" w14:textId="4E3DE4EC" w:rsidR="00090169" w:rsidRPr="0073063D" w:rsidRDefault="00090169" w:rsidP="00471C68">
      <w:pPr>
        <w:spacing w:after="120" w:line="480" w:lineRule="auto"/>
        <w:contextualSpacing/>
      </w:pPr>
      <w:r w:rsidRPr="0073063D">
        <w:t xml:space="preserve">Silverman, Richard B., Holladay, Mark W. (2014). </w:t>
      </w:r>
      <w:r w:rsidRPr="00C83FD5">
        <w:rPr>
          <w:u w:val="single"/>
        </w:rPr>
        <w:t>The Organic Chemistry of Drug Design and Drug Action</w:t>
      </w:r>
      <w:r w:rsidRPr="0073063D">
        <w:t xml:space="preserve"> (Third Edition), Academic Press, (pp 1-17). ISBN: 9780123820303.  </w:t>
      </w:r>
    </w:p>
    <w:p w14:paraId="6D5CB5C5" w14:textId="6294175A" w:rsidR="00090169" w:rsidRPr="0073063D" w:rsidRDefault="00090169" w:rsidP="00471C68">
      <w:pPr>
        <w:spacing w:after="120" w:line="480" w:lineRule="auto"/>
        <w:contextualSpacing/>
      </w:pPr>
      <w:r w:rsidRPr="0073063D">
        <w:t xml:space="preserve">Valdés-Mora, F., et al. (2017). Acetylated histone variant H2A.Z is involved in the activation of neo-enhancers in prostate cancer. </w:t>
      </w:r>
      <w:r w:rsidRPr="00C83FD5">
        <w:rPr>
          <w:i/>
          <w:iCs/>
        </w:rPr>
        <w:t>Nature</w:t>
      </w:r>
      <w:r w:rsidRPr="0073063D">
        <w:t xml:space="preserve"> </w:t>
      </w:r>
      <w:r w:rsidRPr="00C83FD5">
        <w:rPr>
          <w:i/>
          <w:iCs/>
        </w:rPr>
        <w:t>Communications</w:t>
      </w:r>
      <w:r w:rsidRPr="0073063D">
        <w:t xml:space="preserve">, 8, 1346.  </w:t>
      </w:r>
    </w:p>
    <w:p w14:paraId="2269F50A" w14:textId="456090C5" w:rsidR="00090169" w:rsidRPr="0073063D" w:rsidRDefault="00090169" w:rsidP="00471C68">
      <w:pPr>
        <w:spacing w:after="120" w:line="480" w:lineRule="auto"/>
        <w:contextualSpacing/>
      </w:pPr>
      <w:r w:rsidRPr="0073063D">
        <w:t xml:space="preserve">Van Holde, K.E. (1989). </w:t>
      </w:r>
      <w:r w:rsidRPr="00C83FD5">
        <w:rPr>
          <w:i/>
          <w:iCs/>
        </w:rPr>
        <w:t>Chromatin</w:t>
      </w:r>
      <w:r w:rsidRPr="0073063D">
        <w:t xml:space="preserve">. Springer-Verlag, New York.  </w:t>
      </w:r>
    </w:p>
    <w:p w14:paraId="16E070B2" w14:textId="1CFDD7D9" w:rsidR="00090169" w:rsidRPr="0073063D" w:rsidRDefault="00090169" w:rsidP="00471C68">
      <w:pPr>
        <w:spacing w:after="120" w:line="480" w:lineRule="auto"/>
        <w:contextualSpacing/>
      </w:pPr>
      <w:r w:rsidRPr="0073063D">
        <w:t xml:space="preserve">Vanderbilt-Ingram Cancer Center. (2017). Chromatin remodeling/DNA methylation. Retrieved April 25, 2022, from https://www.mycancergenome.org/content/pathways/chromatin-remodeling-dna-methyl </w:t>
      </w:r>
      <w:proofErr w:type="spellStart"/>
      <w:r w:rsidRPr="0073063D">
        <w:t>ation</w:t>
      </w:r>
      <w:proofErr w:type="spellEnd"/>
      <w:r w:rsidRPr="0073063D">
        <w:t xml:space="preserve">/  </w:t>
      </w:r>
    </w:p>
    <w:p w14:paraId="3B502D4A" w14:textId="7914BF6C" w:rsidR="00090169" w:rsidRPr="0073063D" w:rsidRDefault="00090169" w:rsidP="00471C68">
      <w:pPr>
        <w:spacing w:after="120" w:line="480" w:lineRule="auto"/>
        <w:contextualSpacing/>
      </w:pPr>
      <w:proofErr w:type="spellStart"/>
      <w:r w:rsidRPr="0073063D">
        <w:t>Warnoult</w:t>
      </w:r>
      <w:proofErr w:type="spellEnd"/>
      <w:r w:rsidRPr="0073063D">
        <w:t xml:space="preserve">, Vincent, Ron, Dorit. (2013). Chromatin remodeling: a new landscape to treat harmful alcohol-use disorder, </w:t>
      </w:r>
      <w:r w:rsidRPr="00C83FD5">
        <w:rPr>
          <w:i/>
          <w:iCs/>
        </w:rPr>
        <w:t>Future Medicinal Chemistry</w:t>
      </w:r>
      <w:r w:rsidRPr="0073063D">
        <w:t xml:space="preserve">, 5(17):2011-2013. doi:10.4155/fmc.13.152.  </w:t>
      </w:r>
    </w:p>
    <w:p w14:paraId="2136247D" w14:textId="323100F0" w:rsidR="000B7B5D" w:rsidRPr="0073063D" w:rsidRDefault="000B7B5D" w:rsidP="00090169"/>
    <w:sectPr w:rsidR="000B7B5D" w:rsidRPr="0073063D">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8E5D7" w14:textId="77777777" w:rsidR="004E1581" w:rsidRDefault="004E1581" w:rsidP="00471C68">
      <w:pPr>
        <w:spacing w:after="0" w:line="240" w:lineRule="auto"/>
      </w:pPr>
      <w:r>
        <w:separator/>
      </w:r>
    </w:p>
  </w:endnote>
  <w:endnote w:type="continuationSeparator" w:id="0">
    <w:p w14:paraId="0EDD8182" w14:textId="77777777" w:rsidR="004E1581" w:rsidRDefault="004E1581" w:rsidP="00471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F50C1" w14:textId="0980CBAA" w:rsidR="00C83FD5" w:rsidRDefault="00C83FD5">
    <w:pPr>
      <w:pStyle w:val="Footer"/>
      <w:jc w:val="right"/>
    </w:pPr>
    <w:r>
      <w:t xml:space="preserve">McWhorter-Fritzel                                                                                                                                  page </w:t>
    </w:r>
    <w:sdt>
      <w:sdtPr>
        <w:id w:val="-18684444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/25</w:t>
        </w:r>
      </w:sdtContent>
    </w:sdt>
  </w:p>
  <w:p w14:paraId="3EA2461A" w14:textId="77777777" w:rsidR="00C83FD5" w:rsidRDefault="00C83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98484" w14:textId="77777777" w:rsidR="004E1581" w:rsidRDefault="004E1581" w:rsidP="00471C68">
      <w:pPr>
        <w:spacing w:after="0" w:line="240" w:lineRule="auto"/>
      </w:pPr>
      <w:r>
        <w:separator/>
      </w:r>
    </w:p>
  </w:footnote>
  <w:footnote w:type="continuationSeparator" w:id="0">
    <w:p w14:paraId="35131B0E" w14:textId="77777777" w:rsidR="004E1581" w:rsidRDefault="004E1581" w:rsidP="00471C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169"/>
    <w:rsid w:val="00071A8B"/>
    <w:rsid w:val="00090169"/>
    <w:rsid w:val="000B7B5D"/>
    <w:rsid w:val="001E4DC8"/>
    <w:rsid w:val="00261988"/>
    <w:rsid w:val="00471C68"/>
    <w:rsid w:val="004E1581"/>
    <w:rsid w:val="00661817"/>
    <w:rsid w:val="0073063D"/>
    <w:rsid w:val="00C83FD5"/>
    <w:rsid w:val="00D56D5F"/>
    <w:rsid w:val="00E728CB"/>
    <w:rsid w:val="00EA2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3CF7E"/>
  <w15:chartTrackingRefBased/>
  <w15:docId w15:val="{2A66144B-F03E-4F85-AB8E-B56BFAB3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01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1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01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01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01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01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1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1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1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1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1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1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1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1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1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1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1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169"/>
    <w:rPr>
      <w:rFonts w:eastAsiaTheme="majorEastAsia" w:cstheme="majorBidi"/>
      <w:color w:val="272727" w:themeColor="text1" w:themeTint="D8"/>
    </w:rPr>
  </w:style>
  <w:style w:type="paragraph" w:styleId="Title">
    <w:name w:val="Title"/>
    <w:basedOn w:val="Normal"/>
    <w:next w:val="Normal"/>
    <w:link w:val="TitleChar"/>
    <w:uiPriority w:val="10"/>
    <w:qFormat/>
    <w:rsid w:val="000901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1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1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01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169"/>
    <w:pPr>
      <w:spacing w:before="160"/>
      <w:jc w:val="center"/>
    </w:pPr>
    <w:rPr>
      <w:i/>
      <w:iCs/>
      <w:color w:val="404040" w:themeColor="text1" w:themeTint="BF"/>
    </w:rPr>
  </w:style>
  <w:style w:type="character" w:customStyle="1" w:styleId="QuoteChar">
    <w:name w:val="Quote Char"/>
    <w:basedOn w:val="DefaultParagraphFont"/>
    <w:link w:val="Quote"/>
    <w:uiPriority w:val="29"/>
    <w:rsid w:val="00090169"/>
    <w:rPr>
      <w:i/>
      <w:iCs/>
      <w:color w:val="404040" w:themeColor="text1" w:themeTint="BF"/>
    </w:rPr>
  </w:style>
  <w:style w:type="paragraph" w:styleId="ListParagraph">
    <w:name w:val="List Paragraph"/>
    <w:basedOn w:val="Normal"/>
    <w:uiPriority w:val="34"/>
    <w:qFormat/>
    <w:rsid w:val="00090169"/>
    <w:pPr>
      <w:ind w:left="720"/>
      <w:contextualSpacing/>
    </w:pPr>
  </w:style>
  <w:style w:type="character" w:styleId="IntenseEmphasis">
    <w:name w:val="Intense Emphasis"/>
    <w:basedOn w:val="DefaultParagraphFont"/>
    <w:uiPriority w:val="21"/>
    <w:qFormat/>
    <w:rsid w:val="00090169"/>
    <w:rPr>
      <w:i/>
      <w:iCs/>
      <w:color w:val="0F4761" w:themeColor="accent1" w:themeShade="BF"/>
    </w:rPr>
  </w:style>
  <w:style w:type="paragraph" w:styleId="IntenseQuote">
    <w:name w:val="Intense Quote"/>
    <w:basedOn w:val="Normal"/>
    <w:next w:val="Normal"/>
    <w:link w:val="IntenseQuoteChar"/>
    <w:uiPriority w:val="30"/>
    <w:qFormat/>
    <w:rsid w:val="000901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169"/>
    <w:rPr>
      <w:i/>
      <w:iCs/>
      <w:color w:val="0F4761" w:themeColor="accent1" w:themeShade="BF"/>
    </w:rPr>
  </w:style>
  <w:style w:type="character" w:styleId="IntenseReference">
    <w:name w:val="Intense Reference"/>
    <w:basedOn w:val="DefaultParagraphFont"/>
    <w:uiPriority w:val="32"/>
    <w:qFormat/>
    <w:rsid w:val="00090169"/>
    <w:rPr>
      <w:b/>
      <w:bCs/>
      <w:smallCaps/>
      <w:color w:val="0F4761" w:themeColor="accent1" w:themeShade="BF"/>
      <w:spacing w:val="5"/>
    </w:rPr>
  </w:style>
  <w:style w:type="paragraph" w:styleId="Header">
    <w:name w:val="header"/>
    <w:basedOn w:val="Normal"/>
    <w:link w:val="HeaderChar"/>
    <w:uiPriority w:val="99"/>
    <w:unhideWhenUsed/>
    <w:rsid w:val="0047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C68"/>
  </w:style>
  <w:style w:type="paragraph" w:styleId="Footer">
    <w:name w:val="footer"/>
    <w:basedOn w:val="Normal"/>
    <w:link w:val="FooterChar"/>
    <w:uiPriority w:val="99"/>
    <w:unhideWhenUsed/>
    <w:rsid w:val="0047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25</Pages>
  <Words>5393</Words>
  <Characters>30746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McWhorter, Kari L</dc:creator>
  <cp:keywords/>
  <dc:description/>
  <cp:lastModifiedBy>McWhorter, Kari L</cp:lastModifiedBy>
  <cp:revision>1</cp:revision>
  <dcterms:created xsi:type="dcterms:W3CDTF">2026-03-16T03:28:00Z</dcterms:created>
  <dcterms:modified xsi:type="dcterms:W3CDTF">2026-03-16T04:24:00Z</dcterms:modified>
</cp:coreProperties>
</file>